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701"/>
        <w:gridCol w:w="1134"/>
        <w:gridCol w:w="142"/>
        <w:gridCol w:w="1134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77777777" w:rsidR="000D7C60" w:rsidRPr="00816E87" w:rsidRDefault="000D7C60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トアラセット配合錠「三笠」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5E509752" w14:textId="77777777" w:rsidR="000D7C60" w:rsidRPr="00816E87" w:rsidRDefault="004557C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トラムセット配合錠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086608C3" w:rsidR="0082192B" w:rsidRPr="00FB1012" w:rsidRDefault="00D05D8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13B20247" w:rsidR="0082192B" w:rsidRPr="00816E87" w:rsidRDefault="00462F9F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トラマドール塩酸</w:t>
            </w:r>
            <w:r w:rsidR="0037379E" w:rsidRPr="00816E87">
              <w:rPr>
                <w:rFonts w:ascii="ＭＳ ゴシック" w:eastAsia="ＭＳ ゴシック" w:hAnsi="ＭＳ ゴシック" w:hint="eastAsia"/>
                <w:sz w:val="20"/>
              </w:rPr>
              <w:t>塩/アセトアミノフェン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E48EE55" w:rsidR="006A6D57" w:rsidRPr="00C41029" w:rsidRDefault="00160CA0" w:rsidP="00C333A5">
            <w:pPr>
              <w:spacing w:line="240" w:lineRule="auto"/>
              <w:ind w:rightChars="76" w:right="182"/>
              <w:jc w:val="left"/>
              <w:rPr>
                <w:rFonts w:asciiTheme="majorEastAsia" w:eastAsiaTheme="majorEastAsia" w:hAnsiTheme="majorEastAsia"/>
                <w:w w:val="95"/>
                <w:sz w:val="20"/>
              </w:rPr>
            </w:pPr>
            <w:r>
              <w:rPr>
                <w:rFonts w:asciiTheme="majorEastAsia" w:eastAsiaTheme="majorEastAsia" w:hAnsiTheme="majorEastAsia"/>
                <w:w w:val="98"/>
                <w:sz w:val="20"/>
                <w:fitText w:val="7844" w:id="-2090155006"/>
              </w:rPr>
              <w:t xml:space="preserve">1錠中 </w:t>
            </w:r>
            <w:r>
              <w:rPr>
                <w:rFonts w:asciiTheme="majorEastAsia" w:eastAsiaTheme="majorEastAsia" w:hAnsiTheme="majorEastAsia" w:hint="eastAsia"/>
                <w:w w:val="98"/>
                <w:sz w:val="20"/>
                <w:fitText w:val="7844" w:id="-2090155006"/>
              </w:rPr>
              <w:t>日本薬局方トラマドール塩酸塩</w:t>
            </w:r>
            <w:r>
              <w:rPr>
                <w:rFonts w:asciiTheme="majorEastAsia" w:eastAsiaTheme="majorEastAsia" w:hAnsiTheme="majorEastAsia"/>
                <w:w w:val="98"/>
                <w:sz w:val="20"/>
                <w:fitText w:val="7844" w:id="-2090155006"/>
              </w:rPr>
              <w:t>37.5mg,日本薬局方アセトアミノフェン325mg含</w:t>
            </w:r>
            <w:r>
              <w:rPr>
                <w:rFonts w:asciiTheme="majorEastAsia" w:eastAsiaTheme="majorEastAsia" w:hAnsiTheme="majorEastAsia" w:hint="eastAsia"/>
                <w:spacing w:val="2"/>
                <w:w w:val="98"/>
                <w:sz w:val="20"/>
                <w:fitText w:val="7844" w:id="-2090155006"/>
              </w:rPr>
              <w:t>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77777777" w:rsidR="006A6D57" w:rsidRPr="00816E87" w:rsidRDefault="000F46C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慢性疼痛/抜歯後疼痛治療剤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7A0AF3A5" w:rsidR="000F46C7" w:rsidRPr="001B1908" w:rsidRDefault="00FF438F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B1908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F52FA6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1B1908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CE4491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Pr="001B1908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1B1908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763F86CA" w14:textId="2810EBEC" w:rsidR="000F46C7" w:rsidRPr="001B1908" w:rsidRDefault="006468FF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26.9</w:t>
            </w:r>
            <w:r w:rsidR="00D16987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1B1908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94666" w14:textId="77777777" w:rsidR="002B796E" w:rsidRPr="00816E87" w:rsidRDefault="002B796E" w:rsidP="002B796E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非オピオイド鎮痛剤で治療困難な下記疾患における鎮痛</w:t>
            </w:r>
          </w:p>
          <w:p w14:paraId="1ECE946B" w14:textId="77777777" w:rsidR="006A6D57" w:rsidRPr="00816E87" w:rsidRDefault="002B796E" w:rsidP="002B796E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非がん性慢性疼痛、抜歯後の疼痛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77777777" w:rsidR="009A57C4" w:rsidRPr="00816E87" w:rsidRDefault="009A57C4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非がん性慢性疼痛：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通常、成人には、1回1錠、1日4回経口投与する。投与間隔は4時間以上空けること。なお、症状に応じて適宜増減するが、1回2錠、1日8錠を超えて投与しないこと。また、空腹時の投与は避けることが望ましい。</w:t>
            </w:r>
          </w:p>
          <w:p w14:paraId="21EC4700" w14:textId="77777777" w:rsidR="006A6D57" w:rsidRPr="00816E87" w:rsidRDefault="009A57C4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抜歯後の疼痛：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 xml:space="preserve">通常、成人には、1回2錠を経口投与する。なお、追加投与する場合には、投与間隔を4時間以上空け、1回2錠、1日8錠を超えて投与しないこと。また、空腹時の投与は避けることが望ましい。　　　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22123A5B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D1698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77777777" w:rsidR="006A6D57" w:rsidRPr="00816E87" w:rsidRDefault="008F112A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400、黄色三二酸化鉄、ポリソルベート80、カルナウバロウ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7628A4FA" w:rsidR="006A6D57" w:rsidRPr="00816E87" w:rsidRDefault="00867BFA" w:rsidP="00867BF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67BFA">
              <w:rPr>
                <w:rFonts w:ascii="ＭＳ ゴシック" w:eastAsia="ＭＳ ゴシック" w:hAnsi="ＭＳ ゴシック" w:hint="eastAsia"/>
                <w:sz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400、黄色三二酸化鉄、ポリソルベート80、カルナウバロウ</w:t>
            </w:r>
          </w:p>
        </w:tc>
      </w:tr>
      <w:tr w:rsidR="006A6D57" w:rsidRPr="00FB1012" w14:paraId="40825A0C" w14:textId="77777777" w:rsidTr="00020786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305589A7" w:rsidR="00BC59CC" w:rsidRPr="00FB1012" w:rsidRDefault="00D1698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4830C7E6" w:rsidR="00BC59CC" w:rsidRPr="00816E87" w:rsidRDefault="00BC59CC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1E838D6E" w14:textId="2BDFDC7C" w:rsidR="006A6D57" w:rsidRPr="00816E87" w:rsidRDefault="00AF158C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6D3F1B03" w14:textId="77777777" w:rsidR="00F46C10" w:rsidRDefault="00F46C10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46C10">
              <w:rPr>
                <w:rFonts w:ascii="ＭＳ ゴシック" w:eastAsia="ＭＳ ゴシック" w:hAnsi="ＭＳ ゴシック" w:hint="eastAsia"/>
                <w:sz w:val="20"/>
              </w:rPr>
              <w:t>36ヵ月</w:t>
            </w:r>
          </w:p>
          <w:p w14:paraId="61D4EC83" w14:textId="36942AEA" w:rsidR="006A6D57" w:rsidRPr="00816E87" w:rsidRDefault="006A6D57" w:rsidP="00422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8E4AEA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701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276" w:type="dxa"/>
            <w:gridSpan w:val="2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134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8E4AE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F1811" w14:textId="77777777" w:rsidR="006E2F96" w:rsidRPr="00DF37E5" w:rsidRDefault="006E2F96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長径、短径（mm）</w:t>
            </w:r>
          </w:p>
        </w:tc>
        <w:tc>
          <w:tcPr>
            <w:tcW w:w="1276" w:type="dxa"/>
            <w:gridSpan w:val="2"/>
            <w:vAlign w:val="center"/>
          </w:tcPr>
          <w:p w14:paraId="507B219C" w14:textId="77777777" w:rsidR="006E2F96" w:rsidRPr="00DF37E5" w:rsidRDefault="006E2F96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134" w:type="dxa"/>
            <w:vAlign w:val="center"/>
          </w:tcPr>
          <w:p w14:paraId="1EC54AEB" w14:textId="77777777" w:rsidR="006E2F96" w:rsidRPr="00DF37E5" w:rsidRDefault="006E2F96" w:rsidP="00194750">
            <w:pPr>
              <w:snapToGrid w:val="0"/>
              <w:spacing w:line="240" w:lineRule="auto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8E4AEA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6C343E0C" w14:textId="77777777" w:rsidR="006E2F96" w:rsidRPr="00372AC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トアラセット</w:t>
            </w:r>
          </w:p>
          <w:p w14:paraId="2B3D4C0B" w14:textId="77777777" w:rsidR="006E2F96" w:rsidRPr="00372AC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配合錠「三笠」</w:t>
            </w:r>
          </w:p>
        </w:tc>
        <w:tc>
          <w:tcPr>
            <w:tcW w:w="1701" w:type="dxa"/>
            <w:vAlign w:val="center"/>
          </w:tcPr>
          <w:p w14:paraId="699B1B3C" w14:textId="77777777" w:rsidR="006E2F96" w:rsidRPr="00816E87" w:rsidRDefault="006E2F96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63A31266" wp14:editId="0205C8C5">
                  <wp:extent cx="628153" cy="230505"/>
                  <wp:effectExtent l="0" t="0" r="63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67"/>
                          <a:stretch/>
                        </pic:blipFill>
                        <pic:spPr bwMode="auto">
                          <a:xfrm>
                            <a:off x="0" y="0"/>
                            <a:ext cx="629566" cy="2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7E70B372" w14:textId="77777777" w:rsidR="006E2F96" w:rsidRPr="00816E87" w:rsidRDefault="006E2F96" w:rsidP="00383C92">
            <w:pPr>
              <w:widowControl/>
              <w:adjustRightInd/>
              <w:spacing w:line="240" w:lineRule="auto"/>
              <w:ind w:firstLineChars="50" w:firstLine="10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2F3EEC1" wp14:editId="531B3D01">
                  <wp:extent cx="628153" cy="230505"/>
                  <wp:effectExtent l="0" t="0" r="63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67"/>
                          <a:stretch/>
                        </pic:blipFill>
                        <pic:spPr bwMode="auto">
                          <a:xfrm>
                            <a:off x="0" y="0"/>
                            <a:ext cx="629566" cy="2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4A116C6" w14:textId="77777777" w:rsidR="006E2F96" w:rsidRPr="00816E87" w:rsidRDefault="006E2F96" w:rsidP="00BF2082">
            <w:pPr>
              <w:snapToGrid w:val="0"/>
              <w:spacing w:line="240" w:lineRule="auto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57002681" wp14:editId="3BD20638">
                  <wp:extent cx="524510" cy="194945"/>
                  <wp:effectExtent l="0" t="0" r="8890" b="0"/>
                  <wp:docPr id="1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52017"/>
                          <a:stretch/>
                        </pic:blipFill>
                        <pic:spPr>
                          <a:xfrm>
                            <a:off x="0" y="0"/>
                            <a:ext cx="538523" cy="20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00E54755" w14:textId="131A1FC8" w:rsidR="006E2F96" w:rsidRPr="00816E87" w:rsidRDefault="006E2F96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淡黄色のフィルムコーティング錠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78CF45E8" w:rsidR="006E2F96" w:rsidRPr="00816E87" w:rsidRDefault="006E2F96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トアラセット三笠</w:t>
            </w:r>
          </w:p>
        </w:tc>
      </w:tr>
      <w:tr w:rsidR="006E2F96" w:rsidRPr="00FB1012" w14:paraId="49FE7E52" w14:textId="77777777" w:rsidTr="008E4AEA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60BAE" w14:textId="77777777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15.6、6.4</w:t>
            </w:r>
          </w:p>
        </w:tc>
        <w:tc>
          <w:tcPr>
            <w:tcW w:w="1276" w:type="dxa"/>
            <w:gridSpan w:val="2"/>
            <w:vAlign w:val="center"/>
          </w:tcPr>
          <w:p w14:paraId="771AFBB5" w14:textId="77777777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441</w:t>
            </w:r>
          </w:p>
        </w:tc>
        <w:tc>
          <w:tcPr>
            <w:tcW w:w="1134" w:type="dxa"/>
            <w:vAlign w:val="center"/>
          </w:tcPr>
          <w:p w14:paraId="6137455D" w14:textId="77777777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5.1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8E4AEA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E915D2B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トラムセット</w:t>
            </w:r>
          </w:p>
          <w:p w14:paraId="19AFFD4F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2A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配合錠</w:t>
            </w:r>
          </w:p>
        </w:tc>
        <w:tc>
          <w:tcPr>
            <w:tcW w:w="1701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3BEB4E" w14:textId="38102932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7B48AF66" w:rsidR="006E2F96" w:rsidRPr="00816E87" w:rsidRDefault="006E2F96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淡黄色のフィルムコーティング錠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40F2F291" w:rsidR="006E2F96" w:rsidRPr="00816E87" w:rsidRDefault="00867BFA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67BFA">
              <w:rPr>
                <w:rFonts w:ascii="ＭＳ ゴシック" w:eastAsia="ＭＳ ゴシック" w:hAnsi="ＭＳ ゴシック"/>
                <w:sz w:val="20"/>
              </w:rPr>
              <w:t xml:space="preserve">J-C 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67BFA">
              <w:rPr>
                <w:rFonts w:ascii="ＭＳ ゴシック" w:eastAsia="ＭＳ ゴシック" w:hAnsi="ＭＳ ゴシック"/>
                <w:sz w:val="20"/>
              </w:rPr>
              <w:t>T/P</w:t>
            </w:r>
          </w:p>
        </w:tc>
      </w:tr>
      <w:tr w:rsidR="006E2F96" w:rsidRPr="00FB1012" w14:paraId="56B257A4" w14:textId="77777777" w:rsidTr="008E4AEA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14:paraId="5550E6CE" w14:textId="07E594B1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86171">
              <w:rPr>
                <w:rFonts w:ascii="ＭＳ ゴシック" w:eastAsia="ＭＳ ゴシック" w:hAnsi="ＭＳ ゴシック" w:hint="eastAsia"/>
                <w:sz w:val="20"/>
              </w:rPr>
              <w:t>15.</w:t>
            </w:r>
            <w:r w:rsidRPr="00386171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386171">
              <w:rPr>
                <w:rFonts w:ascii="ＭＳ ゴシック" w:eastAsia="ＭＳ ゴシック" w:hAnsi="ＭＳ ゴシック" w:hint="eastAsia"/>
                <w:sz w:val="20"/>
              </w:rPr>
              <w:t>、6.3</w:t>
            </w:r>
          </w:p>
        </w:tc>
        <w:tc>
          <w:tcPr>
            <w:tcW w:w="1276" w:type="dxa"/>
            <w:gridSpan w:val="2"/>
            <w:vAlign w:val="center"/>
          </w:tcPr>
          <w:p w14:paraId="1BB3428E" w14:textId="2E7ACCD1" w:rsidR="006E2F96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441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14:paraId="470D13A2" w14:textId="615FB3A1" w:rsidR="006E2F96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5.5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F37E5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5DC1567D" w:rsidR="00FD3D9D" w:rsidRDefault="002938E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A056600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187F6252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4CA1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687936" behindDoc="0" locked="0" layoutInCell="1" allowOverlap="1" wp14:anchorId="69EB94DE" wp14:editId="7A04BD6F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103174</wp:posOffset>
                  </wp:positionV>
                  <wp:extent cx="1831975" cy="125920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  </w:t>
            </w:r>
            <w:r w:rsidRPr="00790B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＜トラマドール塩酸塩＞</w:t>
            </w:r>
          </w:p>
          <w:p w14:paraId="7C26D029" w14:textId="77777777" w:rsidR="00FD3D9D" w:rsidRPr="00BC385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80C9DA4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7089A63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0177A8B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FC4F14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68EEE9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A22A60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5407486" w14:textId="77777777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4C315BE" w14:textId="77777777" w:rsidR="00FD3D9D" w:rsidRDefault="00FD3D9D" w:rsidP="00FD3D9D">
            <w:pPr>
              <w:spacing w:line="240" w:lineRule="auto"/>
              <w:ind w:firstLineChars="700" w:firstLine="98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790B9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＜アセトアミノフェン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＞</w:t>
            </w:r>
          </w:p>
          <w:p w14:paraId="6B25E46D" w14:textId="77777777" w:rsidR="00FD3D9D" w:rsidRDefault="00FD3D9D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DCC10F" wp14:editId="27E745E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75371</wp:posOffset>
                      </wp:positionV>
                      <wp:extent cx="643255" cy="102870"/>
                      <wp:effectExtent l="0" t="0" r="4445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2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46A54" id="正方形/長方形 11" o:spid="_x0000_s1026" style="position:absolute;left:0;text-align:left;margin-left:56.9pt;margin-top:5.95pt;width:50.65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" fillcolor="white [3212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683840" behindDoc="0" locked="0" layoutInCell="1" allowOverlap="1" wp14:anchorId="6E706BA7" wp14:editId="65333F0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1905</wp:posOffset>
                  </wp:positionV>
                  <wp:extent cx="1830705" cy="118935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7B9119A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1E4F8EC" w14:textId="732FBDF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2E1D26" w14:textId="37E06F1E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C21031D" w14:textId="34D6D5EA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98144E2" w14:textId="37542CD4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F3C414F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5A237D0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43DE4F" w14:textId="0EC0C0EC" w:rsidR="00FD3D9D" w:rsidRDefault="00FD3D9D" w:rsidP="00FD3D9D">
            <w:pPr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F0E80" wp14:editId="5610185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154940</wp:posOffset>
                      </wp:positionV>
                      <wp:extent cx="2743200" cy="56451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A1559" w14:textId="77777777" w:rsidR="00FD3D9D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B1B872" w14:textId="62475275" w:rsidR="00FD3D9D" w:rsidRPr="0042610B" w:rsidRDefault="00FD3D9D" w:rsidP="007E156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「後発医薬品の生物学的同等性試験ガイドライン」に従った本剤と標準製剤の生物学的同等性試験の結果、両製剤は生物学的に同等と確認された。</w:t>
                                  </w:r>
                                  <w:r w:rsidR="001902FD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標準製剤:トラムセット配合錠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F0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35pt;margin-top:12.2pt;width:3in;height:4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ZmaAIAAD0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" filled="f" stroked="f" strokeweight=".5pt">
                      <v:textbox>
                        <w:txbxContent>
                          <w:p w14:paraId="1B1A1559" w14:textId="77777777" w:rsidR="00FD3D9D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2B1B872" w14:textId="62475275" w:rsidR="00FD3D9D" w:rsidRPr="0042610B" w:rsidRDefault="00FD3D9D" w:rsidP="007E156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「後発医薬品の生物学的同等性試験ガイドライン」に従った本剤と標準製剤の生物学的同等性試験の結果、両製剤は生物学的に同等と確認された。</w:t>
                            </w:r>
                            <w:r w:rsidR="001902F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標準製剤:トラムセット配合錠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45BEF" w14:textId="612A0D4F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337B47E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B14295A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F834AE4" w14:textId="77777777" w:rsidR="00FD3D9D" w:rsidRDefault="00FD3D9D" w:rsidP="00FD3D9D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D6C3C1A" w14:textId="5B33CFA1" w:rsidR="00FD3D9D" w:rsidRDefault="002938E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溶出試験（試験液：pH</w:t>
            </w:r>
            <w:r w:rsidR="00FD3D9D" w:rsidRPr="00E260F0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D3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.0、6.8、水）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4A86C9" w14:textId="17D75A0F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  </w:t>
            </w:r>
            <w:r w:rsidRPr="00790B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＜トラマドール塩酸塩＞</w:t>
            </w:r>
          </w:p>
          <w:p w14:paraId="5221C8F3" w14:textId="3BA6A05B" w:rsidR="00FD3D9D" w:rsidRDefault="0069390B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DBD93D6" wp14:editId="0059D01D">
                  <wp:simplePos x="0" y="0"/>
                  <wp:positionH relativeFrom="column">
                    <wp:posOffset>346599</wp:posOffset>
                  </wp:positionH>
                  <wp:positionV relativeFrom="paragraph">
                    <wp:posOffset>46851</wp:posOffset>
                  </wp:positionV>
                  <wp:extent cx="1849755" cy="120205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5" t="62709" r="43203" b="4682"/>
                          <a:stretch/>
                        </pic:blipFill>
                        <pic:spPr bwMode="auto">
                          <a:xfrm>
                            <a:off x="0" y="0"/>
                            <a:ext cx="1849755" cy="120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6FCE6" w14:textId="7B699FB9" w:rsidR="00FD3D9D" w:rsidRPr="002E6A9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C0EF99" w14:textId="595477C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BB4BE16" w14:textId="3703FAFB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6FED356B" w14:textId="3562BEA0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A274B7E" w14:textId="4A5CA325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0882A44" w14:textId="7D9E78C3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12CA5889" w14:textId="69C0D344" w:rsidR="00FD3D9D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E5868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F055F2" wp14:editId="3084C385">
                      <wp:simplePos x="0" y="0"/>
                      <wp:positionH relativeFrom="column">
                        <wp:posOffset>279207</wp:posOffset>
                      </wp:positionH>
                      <wp:positionV relativeFrom="paragraph">
                        <wp:posOffset>151765</wp:posOffset>
                      </wp:positionV>
                      <wp:extent cx="1684710" cy="238539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710" cy="2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DE1B48" w14:textId="77777777" w:rsidR="00FD3D9D" w:rsidRPr="002E5868" w:rsidRDefault="00FD3D9D" w:rsidP="002E5868">
                                  <w:pPr>
                                    <w:spacing w:line="240" w:lineRule="auto"/>
                                    <w:ind w:firstLineChars="500" w:firstLine="700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790B9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＜アセトアミノフェン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55F2" id="テキスト ボックス 18" o:spid="_x0000_s1027" type="#_x0000_t202" style="position:absolute;left:0;text-align:left;margin-left:22pt;margin-top:11.95pt;width:132.65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" filled="f" stroked="f" strokeweight=".5pt">
                      <v:textbox>
                        <w:txbxContent>
                          <w:p w14:paraId="18DE1B48" w14:textId="77777777" w:rsidR="00FD3D9D" w:rsidRPr="002E5868" w:rsidRDefault="00FD3D9D" w:rsidP="002E5868">
                            <w:pPr>
                              <w:spacing w:line="240" w:lineRule="auto"/>
                              <w:ind w:firstLineChars="500" w:firstLine="700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790B9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＜アセトアミノフェン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32D79" w14:textId="58E64A78" w:rsidR="00FD3D9D" w:rsidRPr="00020786" w:rsidRDefault="00B3496A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F1C6B3E" wp14:editId="2AB69607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136525</wp:posOffset>
                  </wp:positionV>
                  <wp:extent cx="1750695" cy="1198880"/>
                  <wp:effectExtent l="0" t="0" r="1905" b="127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2" t="32922" r="40028" b="23495"/>
                          <a:stretch/>
                        </pic:blipFill>
                        <pic:spPr bwMode="auto">
                          <a:xfrm>
                            <a:off x="0" y="0"/>
                            <a:ext cx="1750695" cy="119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4FA21" wp14:editId="1EFFDB9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1334770</wp:posOffset>
                      </wp:positionV>
                      <wp:extent cx="258381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E9595E" w14:textId="77777777" w:rsidR="00FD3D9D" w:rsidRPr="0042610B" w:rsidRDefault="00FD3D9D" w:rsidP="0042610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42610B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FA21" id="テキスト ボックス 2" o:spid="_x0000_s1028" type="#_x0000_t202" style="position:absolute;left:0;text-align:left;margin-left:-1.85pt;margin-top:105.1pt;width:203.4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" filled="f" stroked="f" strokeweight=".5pt">
                      <v:textbox>
                        <w:txbxContent>
                          <w:p w14:paraId="16E9595E" w14:textId="77777777" w:rsidR="00FD3D9D" w:rsidRPr="0042610B" w:rsidRDefault="00FD3D9D" w:rsidP="00426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2610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D3D9D" w:rsidRPr="00DC04F1">
              <w:rPr>
                <w:rFonts w:ascii="ＭＳ ゴシック" w:eastAsia="ＭＳ ゴシック" w:hAnsi="ＭＳ ゴシック" w:hint="eastAsia"/>
                <w:sz w:val="20"/>
              </w:rPr>
              <w:t xml:space="preserve">　　　　　   </w: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0A2FBC">
      <w:headerReference w:type="default" r:id="rId14"/>
      <w:footerReference w:type="even" r:id="rId15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11DE" w14:textId="77777777" w:rsidR="0063132A" w:rsidRDefault="0063132A">
      <w:r>
        <w:separator/>
      </w:r>
    </w:p>
  </w:endnote>
  <w:endnote w:type="continuationSeparator" w:id="0">
    <w:p w14:paraId="331EDA91" w14:textId="77777777" w:rsidR="0063132A" w:rsidRDefault="006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EF4E" w14:textId="77777777" w:rsidR="0063132A" w:rsidRDefault="0063132A">
      <w:r>
        <w:separator/>
      </w:r>
    </w:p>
  </w:footnote>
  <w:footnote w:type="continuationSeparator" w:id="0">
    <w:p w14:paraId="5682C6EA" w14:textId="77777777" w:rsidR="0063132A" w:rsidRDefault="0063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6C79F860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1F717F">
      <w:rPr>
        <w:rFonts w:ascii="ＭＳ ゴシック" w:eastAsia="ＭＳ ゴシック" w:hAnsi="ＭＳ ゴシック" w:hint="eastAsia"/>
        <w:sz w:val="22"/>
      </w:rPr>
      <w:t>2</w:t>
    </w:r>
    <w:r w:rsidR="00384023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083E00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579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83E00"/>
    <w:rsid w:val="00090CD2"/>
    <w:rsid w:val="000A1DD5"/>
    <w:rsid w:val="000A2FBC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7FAF"/>
    <w:rsid w:val="00141C1E"/>
    <w:rsid w:val="001558DA"/>
    <w:rsid w:val="00156CDB"/>
    <w:rsid w:val="00160CA0"/>
    <w:rsid w:val="0017481E"/>
    <w:rsid w:val="00176C52"/>
    <w:rsid w:val="00184076"/>
    <w:rsid w:val="00185968"/>
    <w:rsid w:val="001902FD"/>
    <w:rsid w:val="00190531"/>
    <w:rsid w:val="00191B45"/>
    <w:rsid w:val="00194750"/>
    <w:rsid w:val="00195A8A"/>
    <w:rsid w:val="0019675E"/>
    <w:rsid w:val="00196F68"/>
    <w:rsid w:val="001A39AC"/>
    <w:rsid w:val="001A7BA5"/>
    <w:rsid w:val="001B1908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1F717F"/>
    <w:rsid w:val="00200A0E"/>
    <w:rsid w:val="00207411"/>
    <w:rsid w:val="00207B78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063"/>
    <w:rsid w:val="00277255"/>
    <w:rsid w:val="00292B44"/>
    <w:rsid w:val="002938E4"/>
    <w:rsid w:val="002A50CB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023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C7A11"/>
    <w:rsid w:val="003E3018"/>
    <w:rsid w:val="003E7077"/>
    <w:rsid w:val="003E70A4"/>
    <w:rsid w:val="003F0C4A"/>
    <w:rsid w:val="003F4E38"/>
    <w:rsid w:val="00405C44"/>
    <w:rsid w:val="004108FF"/>
    <w:rsid w:val="004121F9"/>
    <w:rsid w:val="0041769C"/>
    <w:rsid w:val="0042256F"/>
    <w:rsid w:val="004259A9"/>
    <w:rsid w:val="0042610B"/>
    <w:rsid w:val="0042647D"/>
    <w:rsid w:val="00427E75"/>
    <w:rsid w:val="004330B5"/>
    <w:rsid w:val="004338CB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90283"/>
    <w:rsid w:val="00490331"/>
    <w:rsid w:val="004A1B56"/>
    <w:rsid w:val="004A5DD3"/>
    <w:rsid w:val="004C1CA4"/>
    <w:rsid w:val="004C361A"/>
    <w:rsid w:val="004D024C"/>
    <w:rsid w:val="004D5BE5"/>
    <w:rsid w:val="004F4375"/>
    <w:rsid w:val="004F6273"/>
    <w:rsid w:val="004F7F3E"/>
    <w:rsid w:val="00500412"/>
    <w:rsid w:val="0050158A"/>
    <w:rsid w:val="0050700F"/>
    <w:rsid w:val="00512C36"/>
    <w:rsid w:val="00513C37"/>
    <w:rsid w:val="00513E2C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5CE8"/>
    <w:rsid w:val="005F23F9"/>
    <w:rsid w:val="005F6A42"/>
    <w:rsid w:val="00607D57"/>
    <w:rsid w:val="00613E4B"/>
    <w:rsid w:val="006272B7"/>
    <w:rsid w:val="0063132A"/>
    <w:rsid w:val="00633B18"/>
    <w:rsid w:val="0063798B"/>
    <w:rsid w:val="006468FF"/>
    <w:rsid w:val="006521C0"/>
    <w:rsid w:val="00652F3C"/>
    <w:rsid w:val="00654AFE"/>
    <w:rsid w:val="00662DB3"/>
    <w:rsid w:val="00663ACD"/>
    <w:rsid w:val="00663BAA"/>
    <w:rsid w:val="00663E06"/>
    <w:rsid w:val="00666780"/>
    <w:rsid w:val="00674BFE"/>
    <w:rsid w:val="00677D5C"/>
    <w:rsid w:val="006859C8"/>
    <w:rsid w:val="00690089"/>
    <w:rsid w:val="0069390B"/>
    <w:rsid w:val="006A15A3"/>
    <w:rsid w:val="006A6D57"/>
    <w:rsid w:val="006B074B"/>
    <w:rsid w:val="006B4CAF"/>
    <w:rsid w:val="006C0A4E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F70"/>
    <w:rsid w:val="007248FA"/>
    <w:rsid w:val="00731349"/>
    <w:rsid w:val="00732688"/>
    <w:rsid w:val="007343AB"/>
    <w:rsid w:val="007351FF"/>
    <w:rsid w:val="007475DD"/>
    <w:rsid w:val="007549D0"/>
    <w:rsid w:val="00755D11"/>
    <w:rsid w:val="00757D97"/>
    <w:rsid w:val="00765EB1"/>
    <w:rsid w:val="00771BA3"/>
    <w:rsid w:val="007811AE"/>
    <w:rsid w:val="00781994"/>
    <w:rsid w:val="007839E1"/>
    <w:rsid w:val="00785C40"/>
    <w:rsid w:val="00790B94"/>
    <w:rsid w:val="007967C1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D7736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7E0A"/>
    <w:rsid w:val="00833E0F"/>
    <w:rsid w:val="00842A29"/>
    <w:rsid w:val="00842A76"/>
    <w:rsid w:val="00845169"/>
    <w:rsid w:val="00846AD3"/>
    <w:rsid w:val="0085175A"/>
    <w:rsid w:val="00853DA5"/>
    <w:rsid w:val="008605FA"/>
    <w:rsid w:val="00860B56"/>
    <w:rsid w:val="00860CED"/>
    <w:rsid w:val="00862A3E"/>
    <w:rsid w:val="00867BFA"/>
    <w:rsid w:val="0087412B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5F49"/>
    <w:rsid w:val="00A0022E"/>
    <w:rsid w:val="00A00AB0"/>
    <w:rsid w:val="00A0134E"/>
    <w:rsid w:val="00A101DF"/>
    <w:rsid w:val="00A119EB"/>
    <w:rsid w:val="00A13FA8"/>
    <w:rsid w:val="00A2227D"/>
    <w:rsid w:val="00A35DEC"/>
    <w:rsid w:val="00A41D4D"/>
    <w:rsid w:val="00A425AF"/>
    <w:rsid w:val="00A442E0"/>
    <w:rsid w:val="00A44306"/>
    <w:rsid w:val="00A50BCE"/>
    <w:rsid w:val="00A53050"/>
    <w:rsid w:val="00A53283"/>
    <w:rsid w:val="00A55DED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4F46"/>
    <w:rsid w:val="00AD52BE"/>
    <w:rsid w:val="00AD57E1"/>
    <w:rsid w:val="00AE0D3E"/>
    <w:rsid w:val="00AE2D88"/>
    <w:rsid w:val="00AE3532"/>
    <w:rsid w:val="00AE686E"/>
    <w:rsid w:val="00AF158C"/>
    <w:rsid w:val="00AF627F"/>
    <w:rsid w:val="00B07D9C"/>
    <w:rsid w:val="00B07E93"/>
    <w:rsid w:val="00B129DE"/>
    <w:rsid w:val="00B14A51"/>
    <w:rsid w:val="00B21FB2"/>
    <w:rsid w:val="00B303A6"/>
    <w:rsid w:val="00B330CF"/>
    <w:rsid w:val="00B3496A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1752"/>
    <w:rsid w:val="00C136E4"/>
    <w:rsid w:val="00C15EC0"/>
    <w:rsid w:val="00C20DC9"/>
    <w:rsid w:val="00C23051"/>
    <w:rsid w:val="00C24EBB"/>
    <w:rsid w:val="00C333A5"/>
    <w:rsid w:val="00C33656"/>
    <w:rsid w:val="00C34B2B"/>
    <w:rsid w:val="00C3657C"/>
    <w:rsid w:val="00C41029"/>
    <w:rsid w:val="00C53547"/>
    <w:rsid w:val="00C55FEE"/>
    <w:rsid w:val="00C64160"/>
    <w:rsid w:val="00C641F6"/>
    <w:rsid w:val="00C72B07"/>
    <w:rsid w:val="00C753D5"/>
    <w:rsid w:val="00C76BAC"/>
    <w:rsid w:val="00C80000"/>
    <w:rsid w:val="00C92BA3"/>
    <w:rsid w:val="00C9413F"/>
    <w:rsid w:val="00C9582B"/>
    <w:rsid w:val="00CA5C79"/>
    <w:rsid w:val="00CB155C"/>
    <w:rsid w:val="00CB3ACD"/>
    <w:rsid w:val="00CB7B9E"/>
    <w:rsid w:val="00CC58A0"/>
    <w:rsid w:val="00CE297A"/>
    <w:rsid w:val="00CE4491"/>
    <w:rsid w:val="00CE44E4"/>
    <w:rsid w:val="00CE4672"/>
    <w:rsid w:val="00CE5D49"/>
    <w:rsid w:val="00CE77E4"/>
    <w:rsid w:val="00CF685B"/>
    <w:rsid w:val="00D025BD"/>
    <w:rsid w:val="00D05D80"/>
    <w:rsid w:val="00D07065"/>
    <w:rsid w:val="00D16987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06A49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36D3"/>
    <w:rsid w:val="00E54CC8"/>
    <w:rsid w:val="00E6064A"/>
    <w:rsid w:val="00E622F0"/>
    <w:rsid w:val="00E71B5F"/>
    <w:rsid w:val="00E733A6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F7E6D"/>
    <w:rsid w:val="00F00914"/>
    <w:rsid w:val="00F00C62"/>
    <w:rsid w:val="00F04423"/>
    <w:rsid w:val="00F12F7E"/>
    <w:rsid w:val="00F13B8B"/>
    <w:rsid w:val="00F21C30"/>
    <w:rsid w:val="00F24297"/>
    <w:rsid w:val="00F35C7D"/>
    <w:rsid w:val="00F44F8F"/>
    <w:rsid w:val="00F454A2"/>
    <w:rsid w:val="00F467F7"/>
    <w:rsid w:val="00F46C10"/>
    <w:rsid w:val="00F50B32"/>
    <w:rsid w:val="00F52FA6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D9D"/>
    <w:rsid w:val="00FD7999"/>
    <w:rsid w:val="00FE235F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FF438F"/>
    <w:rPr>
      <w:sz w:val="18"/>
      <w:szCs w:val="18"/>
    </w:rPr>
  </w:style>
  <w:style w:type="paragraph" w:styleId="af6">
    <w:name w:val="annotation text"/>
    <w:basedOn w:val="a"/>
    <w:link w:val="af7"/>
    <w:rsid w:val="00FF438F"/>
    <w:pPr>
      <w:jc w:val="left"/>
    </w:pPr>
  </w:style>
  <w:style w:type="character" w:customStyle="1" w:styleId="af7">
    <w:name w:val="コメント文字列 (文字)"/>
    <w:basedOn w:val="a0"/>
    <w:link w:val="af6"/>
    <w:rsid w:val="00FF438F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FF438F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FF438F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E536D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08ED-531F-489A-BA29-FA483F8C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130</cp:revision>
  <cp:lastPrinted>2024-03-14T03:15:00Z</cp:lastPrinted>
  <dcterms:created xsi:type="dcterms:W3CDTF">2018-08-06T00:36:00Z</dcterms:created>
  <dcterms:modified xsi:type="dcterms:W3CDTF">2025-03-13T00:11:00Z</dcterms:modified>
</cp:coreProperties>
</file>