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95"/>
        <w:gridCol w:w="1276"/>
        <w:gridCol w:w="1465"/>
        <w:gridCol w:w="1465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78E86F61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5D10BA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0805E43D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5D10BA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65119F59" w:rsidR="0082192B" w:rsidRPr="00FB1012" w:rsidRDefault="005D10B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735C7C8" w:rsidR="006A6D57" w:rsidRPr="00816E87" w:rsidRDefault="0019303A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E16C11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5mg</w:t>
            </w:r>
            <w:r w:rsidR="006D7C49">
              <w:rPr>
                <w:rFonts w:asciiTheme="majorEastAsia" w:eastAsiaTheme="majorEastAsia" w:hAnsiTheme="majorEastAsia" w:hint="eastAsia"/>
                <w:sz w:val="20"/>
              </w:rPr>
              <w:t>を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6A6D57" w:rsidRPr="00816E87" w:rsidRDefault="0003672F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3A1241FC" w:rsidR="000F46C7" w:rsidRPr="007469BC" w:rsidRDefault="00C26A58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18</w:t>
            </w:r>
            <w:r w:rsidR="00C61CF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C61CF1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7469BC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28EE0627" w:rsidR="000F46C7" w:rsidRPr="007469BC" w:rsidRDefault="00A2002B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52.40</w:t>
            </w:r>
            <w:r w:rsidR="000F46C7" w:rsidRPr="007469BC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6A6D57" w:rsidRPr="00742451" w:rsidRDefault="00742451" w:rsidP="00742451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11B60766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575BF3AC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19303A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21EC4700" w14:textId="4DE48697" w:rsidR="006A6D57" w:rsidRPr="00742451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で維持する。なお、年齢、症状により適宜増減するが、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6EE7E9A3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C61CF1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6A6D57" w:rsidRPr="00816E87" w:rsidRDefault="007A23B3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6A6D57" w:rsidRPr="007A23B3" w:rsidRDefault="007A23B3" w:rsidP="008F112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6A6D57" w:rsidRPr="00FB1012" w14:paraId="40825A0C" w14:textId="77777777" w:rsidTr="00020786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51FAFFD6" w:rsidR="00BC59CC" w:rsidRPr="00FB1012" w:rsidRDefault="00C61CF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6A6D57" w:rsidRPr="00816E8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1ED5D7D9" w:rsidR="00BC59CC" w:rsidRPr="00816E87" w:rsidRDefault="00FD349B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5CC6E51" w:rsidR="006A6D57" w:rsidRPr="00816E87" w:rsidRDefault="00AF158C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CD84FAC" w:rsidR="006A6D5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75683B" w14:textId="3B4D8479" w:rsidR="00A93F43" w:rsidRPr="00816E87" w:rsidRDefault="00A93F43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2736D00D" w:rsidR="006A6D57" w:rsidRPr="00816E8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21251672" w:rsidR="006E2F96" w:rsidRPr="00DF37E5" w:rsidRDefault="009F50F6" w:rsidP="00EE67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="006E2F96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6E2F96" w:rsidRPr="00DF37E5" w:rsidRDefault="006E2F96" w:rsidP="00EE67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6E2F96" w:rsidRPr="00DF37E5" w:rsidRDefault="006E2F96" w:rsidP="00EE677D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1D6F5666" w:rsidR="006E2F96" w:rsidRPr="00372AC7" w:rsidRDefault="006C29A2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A2002B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9F3301"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49F80214" w:rsidR="006E2F96" w:rsidRPr="00816E87" w:rsidRDefault="00DF384B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26CBE10" wp14:editId="6A618454">
                  <wp:extent cx="261257" cy="261257"/>
                  <wp:effectExtent l="0" t="0" r="5715" b="571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5" cy="27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vAlign w:val="center"/>
          </w:tcPr>
          <w:p w14:paraId="7E70B372" w14:textId="20F5AFEE" w:rsidR="006E2F96" w:rsidRPr="00816E87" w:rsidRDefault="00DF384B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C6AF68F" wp14:editId="7E818F28">
                  <wp:extent cx="261257" cy="261257"/>
                  <wp:effectExtent l="0" t="0" r="5715" b="571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5" cy="27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007D82B4" w:rsidR="006E2F96" w:rsidRPr="00816E87" w:rsidRDefault="00DF384B" w:rsidP="006C29A2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5D6BE9A" wp14:editId="06C242F8">
                  <wp:extent cx="261000" cy="149064"/>
                  <wp:effectExtent l="0" t="0" r="5715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14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03C7AE36" w:rsidR="006E2F96" w:rsidRPr="00816E87" w:rsidRDefault="0038312D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</w:t>
            </w:r>
            <w:r w:rsidR="006E2F96"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7B9B356D" w:rsidR="006E2F96" w:rsidRPr="00816E87" w:rsidRDefault="0038312D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</w:t>
            </w:r>
            <w:r w:rsidR="00E16C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6E2F9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6EA36E59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8.3</w:t>
            </w:r>
          </w:p>
        </w:tc>
        <w:tc>
          <w:tcPr>
            <w:tcW w:w="1370" w:type="dxa"/>
            <w:vAlign w:val="center"/>
          </w:tcPr>
          <w:p w14:paraId="771AFBB5" w14:textId="3FDFD35E" w:rsidR="006E2F96" w:rsidRPr="00816E87" w:rsidRDefault="00E16C1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225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456331EB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4.7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9F3301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478A68EE" w:rsidR="006E2F96" w:rsidRPr="00372AC7" w:rsidRDefault="006C29A2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A2002B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370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75BB7F59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6750B09A" w14:textId="77777777" w:rsidR="006E2F96" w:rsidRDefault="00962DD1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白色</w:t>
            </w:r>
          </w:p>
          <w:p w14:paraId="6F2DAC06" w14:textId="26EDC24A" w:rsidR="00962DD1" w:rsidRPr="00816E87" w:rsidRDefault="00962DD1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E6D96D" w14:textId="7BED6536" w:rsidR="004361FB" w:rsidRDefault="004E4FA9" w:rsidP="00962DD1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V</w:t>
            </w:r>
            <w:r w:rsidR="00962DD1" w:rsidRPr="00962DD1">
              <w:rPr>
                <w:rFonts w:asciiTheme="majorEastAsia" w:eastAsiaTheme="majorEastAsia" w:hAnsiTheme="majorEastAsia"/>
                <w:sz w:val="18"/>
              </w:rPr>
              <w:t>TLY</w:t>
            </w:r>
          </w:p>
          <w:p w14:paraId="462D61EF" w14:textId="152FF5C1" w:rsidR="006E2F96" w:rsidRPr="00962DD1" w:rsidRDefault="00962DD1" w:rsidP="00962DD1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2DD1">
              <w:rPr>
                <w:rFonts w:asciiTheme="majorEastAsia" w:eastAsiaTheme="majorEastAsia" w:hAnsiTheme="majorEastAsia"/>
                <w:sz w:val="18"/>
              </w:rPr>
              <w:t>75</w:t>
            </w:r>
          </w:p>
        </w:tc>
      </w:tr>
      <w:tr w:rsidR="006E2F9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1FE73AE0" w:rsidR="006E2F96" w:rsidRDefault="00962DD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</w:rPr>
              <w:t>.3</w:t>
            </w:r>
          </w:p>
        </w:tc>
        <w:tc>
          <w:tcPr>
            <w:tcW w:w="1370" w:type="dxa"/>
            <w:vAlign w:val="center"/>
          </w:tcPr>
          <w:p w14:paraId="1BB3428E" w14:textId="6F5E34BB" w:rsidR="006E2F96" w:rsidRDefault="006064DF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240</w:t>
            </w: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6FE44F75" w:rsidR="006E2F96" w:rsidRDefault="00962DD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</w:rPr>
              <w:t>.8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455003">
        <w:trPr>
          <w:trHeight w:val="5637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5BE9B75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《参考》プレガバリンOD錠</w:t>
            </w:r>
            <w:r w:rsidRPr="00A043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302B63B1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0B9C5B0A" w14:textId="77777777" w:rsidR="00455003" w:rsidRPr="00D913E0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2218ECBD" wp14:editId="313EDA44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085D4B0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E140E73" w14:textId="5373440C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27B59D8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132AE4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054A879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ACFD2CB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D68F5D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F46ADF0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58BB126" w14:textId="77777777" w:rsidR="00455003" w:rsidRPr="00D913E0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34820BE" wp14:editId="111D022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118110</wp:posOffset>
                  </wp:positionV>
                  <wp:extent cx="2057400" cy="12642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2B17B3EE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75E82FC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FD3C901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AD2DB78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63A559A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6F2A19A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2E74AD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23EE19F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1626342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686B44A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E83F94" wp14:editId="08DBC718">
                      <wp:simplePos x="0" y="0"/>
                      <wp:positionH relativeFrom="column">
                        <wp:posOffset>3487</wp:posOffset>
                      </wp:positionH>
                      <wp:positionV relativeFrom="paragraph">
                        <wp:posOffset>140826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BC1B2A" w14:textId="229BA8C8" w:rsidR="00455003" w:rsidRPr="006064DF" w:rsidRDefault="00455003" w:rsidP="00455003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6064DF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</w:t>
                                  </w:r>
                                  <w:r w:rsidR="0051425A" w:rsidRPr="006064DF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った</w:t>
                                  </w:r>
                                  <w:r w:rsidRPr="006064DF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  <w:r w:rsidR="006064DF" w:rsidRPr="006064DF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標準製剤:リリカOD錠150㎎</w:t>
                                  </w:r>
                                </w:p>
                                <w:p w14:paraId="026AF29A" w14:textId="77777777" w:rsidR="00455003" w:rsidRPr="000B0946" w:rsidRDefault="00455003" w:rsidP="00455003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3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.25pt;margin-top:11.1pt;width:203.45pt;height:4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OeOBKbeAAAABwEAAA8AAABkcnMvZG93bnJldi54bWxMjk1Lw0AURfeC&#10;/2F4gjs745DWEjMpJVAEsYvWbtxNMq9JcD5iZtpGf32fK11e7uHeU6wmZ9kZx9gHr+BxJoChb4Lp&#10;favg8L55WAKLSXujbfCo4BsjrMrbm0LnJlz8Ds/71DIa8THXCrqUhpzz2HTodJyFAT11xzA6nSiO&#10;LTejvtC4s1wKseBO954eOj1g1WHzuT85Ba/VZqt3tXTLH1u9vB3Xw9fhY67U/d20fgaWcEp/MPzq&#10;kzqU5FSHkzeRWQVz4hRIKYFRm4mnDFhNmFhkwMuC//cvrwA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DnjgSm3gAAAAcBAAAPAAAAAAAAAAAAAAAAAHYEAABkcnMvZG93bnJldi54bWxQ&#10;SwUGAAAAAAQABADzAAAAgQUAAAAA&#10;" filled="f" stroked="f" strokeweight=".5pt">
                      <v:textbox>
                        <w:txbxContent>
                          <w:p w14:paraId="23BC1B2A" w14:textId="229BA8C8" w:rsidR="00455003" w:rsidRPr="006064DF" w:rsidRDefault="00455003" w:rsidP="00455003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064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</w:t>
                            </w:r>
                            <w:r w:rsidR="0051425A" w:rsidRPr="006064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った</w:t>
                            </w:r>
                            <w:r w:rsidRPr="006064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本剤と標準製剤の生物学的同等性試験の結果、両製剤は生物学的に同等と確認された。</w:t>
                            </w:r>
                            <w:r w:rsidR="006064DF" w:rsidRPr="006064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標準製剤:リリカOD錠150㎎</w:t>
                            </w:r>
                          </w:p>
                          <w:p w14:paraId="026AF29A" w14:textId="77777777" w:rsidR="00455003" w:rsidRPr="000B0946" w:rsidRDefault="00455003" w:rsidP="0045500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BF6881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80C9DA4" w14:textId="77777777" w:rsidR="00FD3D9D" w:rsidRPr="00455003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1A9D96E7" w14:textId="77777777" w:rsidR="00F861A7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AB2E31A" w14:textId="473FAD56" w:rsidR="00F861A7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標準製剤：プレガバリンOD錠</w:t>
            </w:r>
            <w:r w:rsidRPr="001156F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7B32D79" w14:textId="70E98D89" w:rsidR="00FD3D9D" w:rsidRPr="00020786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6C10739" wp14:editId="098F871E">
                  <wp:simplePos x="0" y="0"/>
                  <wp:positionH relativeFrom="column">
                    <wp:posOffset>45811</wp:posOffset>
                  </wp:positionH>
                  <wp:positionV relativeFrom="paragraph">
                    <wp:posOffset>209151</wp:posOffset>
                  </wp:positionV>
                  <wp:extent cx="2413590" cy="1532052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590" cy="153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08BD6B" wp14:editId="4CB459D3">
                      <wp:simplePos x="0" y="0"/>
                      <wp:positionH relativeFrom="column">
                        <wp:posOffset>-20845</wp:posOffset>
                      </wp:positionH>
                      <wp:positionV relativeFrom="paragraph">
                        <wp:posOffset>1737470</wp:posOffset>
                      </wp:positionV>
                      <wp:extent cx="2583815" cy="644056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644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6C3FE4" w14:textId="77777777" w:rsidR="00F861A7" w:rsidRDefault="00F861A7" w:rsidP="00F86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28DBFD9F" w14:textId="77777777" w:rsidR="00F861A7" w:rsidRPr="000B0946" w:rsidRDefault="00F861A7" w:rsidP="00F86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BD6B" id="テキスト ボックス 2" o:spid="_x0000_s1027" type="#_x0000_t202" style="position:absolute;left:0;text-align:left;margin-left:-1.65pt;margin-top:136.8pt;width:203.45pt;height:5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xmHwIAAEE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5PZ3Ww4oYRjbDoe55NphMmuf1vnwzcBmkSjpA5lSWyx&#10;w9qHPvWcEosZWDVKJWmUIS2C3k3y9MMlguDKxFyRRD7BXDuPVui2HWmqm6m2UB1xWAf9HnjLVw12&#10;tGY+vDCHwuN8uMzhGQ+pACvDyaKkBvfrb/cxH/XAKCUtLlJJ/c89c4IS9d2gUl+GyAhuXnLGk88j&#10;dNxtZHsbMXv9ALirQ3w2licz5gd1NqUD/YY7v4xVMcQMx9olDWfzIfTrjW+Gi+UyJeGuWRbWZmN5&#10;hI68Rb5fuzfm7EmUgHI+wXnlWPFOmz63V2e5DyCbJFzkuWcVBY8O7mmS/vSm4kO49VPW9eUvfgMA&#10;AP//AwBQSwMEFAAGAAgAAAAhABZYksTiAAAACgEAAA8AAABkcnMvZG93bnJldi54bWxMj8tOwzAQ&#10;RfdI/IM1SOxam4Q+lMapqkgVEoJFSzfsJrGbRLXHIXbbwNfjrmA3ozm6c26+Hq1hFz34zpGEp6kA&#10;pql2qqNGwuFjO1kC8wFJoXGkJXxrD+vi/i7HTLkr7fRlHxoWQ8hnKKENoc8493WrLfqp6zXF29EN&#10;FkNch4arAa8x3BqeCDHnFjuKH1rsddnq+rQ/Wwmv5fYdd1Vilz+mfHk7bvqvw+dMyseHcbMCFvQY&#10;/mC46Ud1KKJT5c6kPDMSJmkaSQnJIp0Di8CzuA2VhHQxE8CLnP+vUPwCAAD//wMAUEsBAi0AFAAG&#10;AAgAAAAhALaDOJL+AAAA4QEAABMAAAAAAAAAAAAAAAAAAAAAAFtDb250ZW50X1R5cGVzXS54bWxQ&#10;SwECLQAUAAYACAAAACEAOP0h/9YAAACUAQAACwAAAAAAAAAAAAAAAAAvAQAAX3JlbHMvLnJlbHNQ&#10;SwECLQAUAAYACAAAACEAczfsZh8CAABBBAAADgAAAAAAAAAAAAAAAAAuAgAAZHJzL2Uyb0RvYy54&#10;bWxQSwECLQAUAAYACAAAACEAFliSxOIAAAAKAQAADwAAAAAAAAAAAAAAAAB5BAAAZHJzL2Rvd25y&#10;ZXYueG1sUEsFBgAAAAAEAAQA8wAAAIgFAAAAAA==&#10;" filled="f" stroked="f" strokeweight=".5pt">
                      <v:textbox>
                        <w:txbxContent>
                          <w:p w14:paraId="596C3FE4" w14:textId="77777777" w:rsidR="00F861A7" w:rsidRDefault="00F861A7" w:rsidP="00F86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8DBFD9F" w14:textId="77777777" w:rsidR="00F861A7" w:rsidRPr="000B0946" w:rsidRDefault="00F861A7" w:rsidP="00F86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3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水/50rpm</w: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B44961">
      <w:headerReference w:type="default" r:id="rId13"/>
      <w:footerReference w:type="even" r:id="rId14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EE13" w14:textId="77777777" w:rsidR="00047DDE" w:rsidRDefault="00047DDE">
      <w:r>
        <w:separator/>
      </w:r>
    </w:p>
  </w:endnote>
  <w:endnote w:type="continuationSeparator" w:id="0">
    <w:p w14:paraId="392DBE01" w14:textId="77777777" w:rsidR="00047DDE" w:rsidRDefault="0004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9D96" w14:textId="77777777" w:rsidR="00047DDE" w:rsidRDefault="00047DDE">
      <w:r>
        <w:separator/>
      </w:r>
    </w:p>
  </w:footnote>
  <w:footnote w:type="continuationSeparator" w:id="0">
    <w:p w14:paraId="576A0597" w14:textId="77777777" w:rsidR="00047DDE" w:rsidRDefault="0004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2DFBE73E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C824D2">
      <w:rPr>
        <w:rFonts w:ascii="ＭＳ ゴシック" w:eastAsia="ＭＳ ゴシック" w:hAnsi="ＭＳ ゴシック" w:hint="eastAsia"/>
        <w:sz w:val="22"/>
      </w:rPr>
      <w:t>2</w:t>
    </w:r>
    <w:r w:rsidR="00C26A58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6D5D2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0939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1B56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570"/>
    <w:rsid w:val="0003672F"/>
    <w:rsid w:val="000373BB"/>
    <w:rsid w:val="00046185"/>
    <w:rsid w:val="00047DDE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7FAF"/>
    <w:rsid w:val="00141C1E"/>
    <w:rsid w:val="001558DA"/>
    <w:rsid w:val="00156CDB"/>
    <w:rsid w:val="0017481E"/>
    <w:rsid w:val="00176C52"/>
    <w:rsid w:val="00184076"/>
    <w:rsid w:val="00185968"/>
    <w:rsid w:val="00190531"/>
    <w:rsid w:val="001908E9"/>
    <w:rsid w:val="00191B45"/>
    <w:rsid w:val="0019303A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200A0E"/>
    <w:rsid w:val="0020166D"/>
    <w:rsid w:val="00207411"/>
    <w:rsid w:val="00207B78"/>
    <w:rsid w:val="002157D7"/>
    <w:rsid w:val="00221B7F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A50CB"/>
    <w:rsid w:val="002B1F9D"/>
    <w:rsid w:val="002B258C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B4B3B"/>
    <w:rsid w:val="003B515F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361FB"/>
    <w:rsid w:val="00446AB6"/>
    <w:rsid w:val="0045065B"/>
    <w:rsid w:val="00452B46"/>
    <w:rsid w:val="0045417C"/>
    <w:rsid w:val="004541B3"/>
    <w:rsid w:val="00455003"/>
    <w:rsid w:val="004557C0"/>
    <w:rsid w:val="00460B62"/>
    <w:rsid w:val="00462F9F"/>
    <w:rsid w:val="00483440"/>
    <w:rsid w:val="00490283"/>
    <w:rsid w:val="00490331"/>
    <w:rsid w:val="004A1B56"/>
    <w:rsid w:val="004C1CA4"/>
    <w:rsid w:val="004C361A"/>
    <w:rsid w:val="004D024C"/>
    <w:rsid w:val="004D5BAC"/>
    <w:rsid w:val="004D5BE5"/>
    <w:rsid w:val="004E4FA9"/>
    <w:rsid w:val="004F4375"/>
    <w:rsid w:val="004F6273"/>
    <w:rsid w:val="004F7F3E"/>
    <w:rsid w:val="00500412"/>
    <w:rsid w:val="0050700F"/>
    <w:rsid w:val="00512C36"/>
    <w:rsid w:val="00513C37"/>
    <w:rsid w:val="00513E2C"/>
    <w:rsid w:val="0051425A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10BA"/>
    <w:rsid w:val="005D4305"/>
    <w:rsid w:val="005E5CE8"/>
    <w:rsid w:val="005F6A42"/>
    <w:rsid w:val="005F734A"/>
    <w:rsid w:val="006064DF"/>
    <w:rsid w:val="00607D57"/>
    <w:rsid w:val="00613E4B"/>
    <w:rsid w:val="006272B7"/>
    <w:rsid w:val="00633B18"/>
    <w:rsid w:val="0063798B"/>
    <w:rsid w:val="006521C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5D24"/>
    <w:rsid w:val="006D7166"/>
    <w:rsid w:val="006D7C49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2451"/>
    <w:rsid w:val="007469BC"/>
    <w:rsid w:val="007475DD"/>
    <w:rsid w:val="007549D0"/>
    <w:rsid w:val="00755D11"/>
    <w:rsid w:val="00757D97"/>
    <w:rsid w:val="00765EB1"/>
    <w:rsid w:val="00771BA3"/>
    <w:rsid w:val="007811AE"/>
    <w:rsid w:val="00781994"/>
    <w:rsid w:val="007839E1"/>
    <w:rsid w:val="00785C40"/>
    <w:rsid w:val="00790B94"/>
    <w:rsid w:val="007967C1"/>
    <w:rsid w:val="007A23B3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26BEE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224"/>
    <w:rsid w:val="008F67C9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62DD1"/>
    <w:rsid w:val="00963E5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002B"/>
    <w:rsid w:val="00A2227D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85C73"/>
    <w:rsid w:val="00A8685E"/>
    <w:rsid w:val="00A93F43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52BE"/>
    <w:rsid w:val="00AD57E1"/>
    <w:rsid w:val="00AD7B0F"/>
    <w:rsid w:val="00AE0D3E"/>
    <w:rsid w:val="00AE2D88"/>
    <w:rsid w:val="00AE3532"/>
    <w:rsid w:val="00AE686E"/>
    <w:rsid w:val="00AF158C"/>
    <w:rsid w:val="00AF41F1"/>
    <w:rsid w:val="00AF627F"/>
    <w:rsid w:val="00B07D9C"/>
    <w:rsid w:val="00B07E93"/>
    <w:rsid w:val="00B129DE"/>
    <w:rsid w:val="00B14A51"/>
    <w:rsid w:val="00B21FB2"/>
    <w:rsid w:val="00B303A6"/>
    <w:rsid w:val="00B330CF"/>
    <w:rsid w:val="00B35812"/>
    <w:rsid w:val="00B37F2B"/>
    <w:rsid w:val="00B44961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71C"/>
    <w:rsid w:val="00C24EBB"/>
    <w:rsid w:val="00C26A58"/>
    <w:rsid w:val="00C33656"/>
    <w:rsid w:val="00C34B2B"/>
    <w:rsid w:val="00C3657C"/>
    <w:rsid w:val="00C53547"/>
    <w:rsid w:val="00C55FEE"/>
    <w:rsid w:val="00C61CF1"/>
    <w:rsid w:val="00C64160"/>
    <w:rsid w:val="00C641F6"/>
    <w:rsid w:val="00C72B07"/>
    <w:rsid w:val="00C753D5"/>
    <w:rsid w:val="00C76BAC"/>
    <w:rsid w:val="00C80000"/>
    <w:rsid w:val="00C824D2"/>
    <w:rsid w:val="00C92BA3"/>
    <w:rsid w:val="00C9413F"/>
    <w:rsid w:val="00C9582B"/>
    <w:rsid w:val="00CA5C79"/>
    <w:rsid w:val="00CB155C"/>
    <w:rsid w:val="00CB3ACD"/>
    <w:rsid w:val="00CB7B9E"/>
    <w:rsid w:val="00CC58A0"/>
    <w:rsid w:val="00CE297A"/>
    <w:rsid w:val="00CE44E4"/>
    <w:rsid w:val="00CE4672"/>
    <w:rsid w:val="00CE5D49"/>
    <w:rsid w:val="00CE77E4"/>
    <w:rsid w:val="00CF685B"/>
    <w:rsid w:val="00D07065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4A21"/>
    <w:rsid w:val="00D76C18"/>
    <w:rsid w:val="00D77317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384B"/>
    <w:rsid w:val="00DF7405"/>
    <w:rsid w:val="00E10CA5"/>
    <w:rsid w:val="00E12920"/>
    <w:rsid w:val="00E16C11"/>
    <w:rsid w:val="00E22D77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62419"/>
    <w:rsid w:val="00E71B5F"/>
    <w:rsid w:val="00E733A6"/>
    <w:rsid w:val="00E854D9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D68C1"/>
    <w:rsid w:val="00EE677D"/>
    <w:rsid w:val="00EF7E6D"/>
    <w:rsid w:val="00F00914"/>
    <w:rsid w:val="00F00C62"/>
    <w:rsid w:val="00F12F7E"/>
    <w:rsid w:val="00F13B8B"/>
    <w:rsid w:val="00F20FEA"/>
    <w:rsid w:val="00F21C30"/>
    <w:rsid w:val="00F24297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1A7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49B"/>
    <w:rsid w:val="00FD3D9D"/>
    <w:rsid w:val="00FD66FB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5D10BA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1E7-CEC6-4D1E-B8D2-E3446C9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40</cp:revision>
  <cp:lastPrinted>2024-03-14T03:14:00Z</cp:lastPrinted>
  <dcterms:created xsi:type="dcterms:W3CDTF">2020-08-20T00:13:00Z</dcterms:created>
  <dcterms:modified xsi:type="dcterms:W3CDTF">2025-03-12T23:48:00Z</dcterms:modified>
</cp:coreProperties>
</file>