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A8D9" w14:textId="77777777" w:rsidR="00005991" w:rsidRPr="00FB1012" w:rsidRDefault="000639F2" w:rsidP="00005991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製品別比較表(標準製剤との比較)</w:t>
      </w:r>
      <w:r w:rsidR="00005991">
        <w:rPr>
          <w:rFonts w:ascii="ＭＳ ゴシック" w:eastAsia="ＭＳ ゴシック" w:hAnsi="ＭＳ ゴシック"/>
          <w:b/>
          <w:szCs w:val="24"/>
        </w:rPr>
        <w:t>(</w:t>
      </w:r>
      <w:r w:rsidR="00005991">
        <w:rPr>
          <w:rFonts w:ascii="ＭＳ ゴシック" w:eastAsia="ＭＳ ゴシック" w:hAnsi="ＭＳ ゴシック" w:hint="eastAsia"/>
          <w:b/>
          <w:szCs w:val="24"/>
        </w:rPr>
        <w:t>案</w:t>
      </w:r>
      <w:r w:rsidR="00005991">
        <w:rPr>
          <w:rFonts w:ascii="ＭＳ ゴシック" w:eastAsia="ＭＳ ゴシック" w:hAnsi="ＭＳ ゴシック"/>
          <w:b/>
          <w:szCs w:val="24"/>
        </w:rPr>
        <w:t>)</w:t>
      </w:r>
    </w:p>
    <w:tbl>
      <w:tblPr>
        <w:tblW w:w="1105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701"/>
        <w:gridCol w:w="921"/>
        <w:gridCol w:w="780"/>
        <w:gridCol w:w="3969"/>
      </w:tblGrid>
      <w:tr w:rsidR="000639F2" w:rsidRPr="00FB1012" w14:paraId="0D406DE2" w14:textId="77777777" w:rsidTr="003D60A9">
        <w:trPr>
          <w:trHeight w:val="22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454973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11F9898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後発品</w:t>
            </w:r>
          </w:p>
        </w:tc>
        <w:tc>
          <w:tcPr>
            <w:tcW w:w="474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DD490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標準製剤</w:t>
            </w:r>
          </w:p>
        </w:tc>
      </w:tr>
      <w:tr w:rsidR="000639F2" w:rsidRPr="00FB1012" w14:paraId="666F3D81" w14:textId="77777777" w:rsidTr="003D60A9">
        <w:trPr>
          <w:trHeight w:val="29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C43B35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74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2064BA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74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C512CE" w14:textId="3C7CC94F" w:rsidR="000639F2" w:rsidRPr="00432627" w:rsidRDefault="000639F2" w:rsidP="00F437A3">
            <w:pPr>
              <w:spacing w:line="240" w:lineRule="auto"/>
              <w:ind w:leftChars="-36" w:left="-86" w:rightChars="-50" w:right="-120" w:firstLineChars="1" w:firstLine="2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639F2" w:rsidRPr="00FB1012" w14:paraId="1FC34C7A" w14:textId="77777777" w:rsidTr="003D60A9">
        <w:trPr>
          <w:trHeight w:val="150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976171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748" w:type="dxa"/>
            <w:gridSpan w:val="3"/>
            <w:tcBorders>
              <w:left w:val="single" w:sz="18" w:space="0" w:color="auto"/>
            </w:tcBorders>
            <w:vAlign w:val="center"/>
          </w:tcPr>
          <w:p w14:paraId="4E821540" w14:textId="79C49E43" w:rsidR="000639F2" w:rsidRPr="00FB1012" w:rsidRDefault="00990471" w:rsidP="00617D8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フェルビナクテープ35mg「三笠」</w:t>
            </w:r>
          </w:p>
        </w:tc>
        <w:tc>
          <w:tcPr>
            <w:tcW w:w="4749" w:type="dxa"/>
            <w:gridSpan w:val="2"/>
            <w:tcBorders>
              <w:right w:val="single" w:sz="18" w:space="0" w:color="auto"/>
            </w:tcBorders>
            <w:vAlign w:val="center"/>
          </w:tcPr>
          <w:p w14:paraId="6F7612FC" w14:textId="77777777" w:rsidR="000639F2" w:rsidRPr="00FB1012" w:rsidRDefault="00005991" w:rsidP="00005991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セルタッチテープ70</w:t>
            </w:r>
          </w:p>
        </w:tc>
      </w:tr>
      <w:tr w:rsidR="000639F2" w:rsidRPr="00FB1012" w14:paraId="437740AF" w14:textId="77777777" w:rsidTr="00934229">
        <w:trPr>
          <w:trHeight w:val="128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59B2C6" w14:textId="5A5681E3" w:rsidR="000639F2" w:rsidRPr="00FB1012" w:rsidRDefault="00103C37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949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2C1039" w14:textId="77777777" w:rsidR="000639F2" w:rsidRPr="00FB1012" w:rsidRDefault="00617D83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</w:t>
            </w:r>
          </w:p>
        </w:tc>
      </w:tr>
      <w:tr w:rsidR="00687265" w:rsidRPr="00FB1012" w14:paraId="5D0682F0" w14:textId="77777777" w:rsidTr="003D60A9">
        <w:trPr>
          <w:trHeight w:val="275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F95B94" w14:textId="77777777" w:rsidR="00687265" w:rsidRPr="00FB1012" w:rsidRDefault="00687265" w:rsidP="00F437A3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474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3B2D16" w14:textId="053C528F" w:rsidR="00355C8A" w:rsidRDefault="00687265" w:rsidP="00BA5C49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1枚</w:t>
            </w:r>
            <w:r w:rsidR="00245B0C">
              <w:rPr>
                <w:rFonts w:ascii="ＭＳ ゴシック" w:eastAsia="ＭＳ ゴシック" w:hAnsi="ＭＳ ゴシック"/>
                <w:sz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</w:rPr>
              <w:t>cm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 w:rsidR="00245B0C">
              <w:rPr>
                <w:rFonts w:ascii="ＭＳ ゴシック" w:eastAsia="ＭＳ ゴシック" w:hAnsi="ＭＳ ゴシック"/>
                <w:sz w:val="20"/>
              </w:rPr>
              <w:t>10</w:t>
            </w:r>
            <w:r>
              <w:rPr>
                <w:rFonts w:ascii="ＭＳ ゴシック" w:eastAsia="ＭＳ ゴシック" w:hAnsi="ＭＳ ゴシック"/>
                <w:sz w:val="20"/>
              </w:rPr>
              <w:t>cm</w:t>
            </w:r>
            <w:r w:rsidR="00E6544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57484">
              <w:rPr>
                <w:rFonts w:ascii="ＭＳ ゴシック" w:eastAsia="ＭＳ ゴシック" w:hAnsi="ＭＳ ゴシック" w:hint="eastAsia"/>
                <w:sz w:val="20"/>
              </w:rPr>
              <w:t>膏体</w:t>
            </w:r>
            <w:r w:rsidR="00E65445">
              <w:rPr>
                <w:rFonts w:ascii="ＭＳ ゴシック" w:eastAsia="ＭＳ ゴシック" w:hAnsi="ＭＳ ゴシック" w:hint="eastAsia"/>
                <w:sz w:val="20"/>
              </w:rPr>
              <w:t>質量</w:t>
            </w:r>
            <w:r w:rsidR="00245B0C">
              <w:rPr>
                <w:rFonts w:ascii="ＭＳ ゴシック" w:eastAsia="ＭＳ ゴシック" w:hAnsi="ＭＳ ゴシック" w:hint="eastAsia"/>
                <w:sz w:val="20"/>
              </w:rPr>
              <w:t>0.7</w:t>
            </w:r>
            <w:r w:rsidR="00A57484">
              <w:rPr>
                <w:rFonts w:ascii="ＭＳ ゴシック" w:eastAsia="ＭＳ ゴシック" w:hAnsi="ＭＳ ゴシック" w:hint="eastAsia"/>
                <w:sz w:val="20"/>
              </w:rPr>
              <w:t>g</w:t>
            </w:r>
            <w:r w:rsidR="00355C8A">
              <w:rPr>
                <w:rFonts w:ascii="ＭＳ ゴシック" w:eastAsia="ＭＳ ゴシック" w:hAnsi="ＭＳ ゴシック" w:hint="eastAsia"/>
                <w:sz w:val="20"/>
              </w:rPr>
              <w:t>）中</w:t>
            </w:r>
            <w:r w:rsidR="00F90938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  <w:p w14:paraId="3E3D632F" w14:textId="77777777" w:rsidR="00687265" w:rsidRPr="00617D83" w:rsidRDefault="00687265" w:rsidP="00BA5C49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日本薬局方フェルビナク</w:t>
            </w:r>
            <w:r w:rsidR="00245B0C">
              <w:rPr>
                <w:rFonts w:ascii="ＭＳ ゴシック" w:eastAsia="ＭＳ ゴシック" w:hAnsi="ＭＳ ゴシック"/>
                <w:sz w:val="20"/>
              </w:rPr>
              <w:t>35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Pr="00617D83">
              <w:rPr>
                <w:rFonts w:ascii="ＭＳ ゴシック" w:eastAsia="ＭＳ ゴシック" w:hAnsi="ＭＳ ゴシック" w:hint="eastAsia"/>
                <w:sz w:val="20"/>
              </w:rPr>
              <w:t>含有</w:t>
            </w:r>
          </w:p>
        </w:tc>
        <w:tc>
          <w:tcPr>
            <w:tcW w:w="474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12D2C5" w14:textId="59978E8C" w:rsidR="00400DC6" w:rsidRDefault="00687265" w:rsidP="00BA5C49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1枚 </w:t>
            </w:r>
            <w:r>
              <w:rPr>
                <w:rFonts w:ascii="ＭＳ ゴシック" w:eastAsia="ＭＳ ゴシック" w:hAnsi="ＭＳ ゴシック"/>
                <w:sz w:val="20"/>
              </w:rPr>
              <w:t>10cm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>
              <w:rPr>
                <w:rFonts w:ascii="ＭＳ ゴシック" w:eastAsia="ＭＳ ゴシック" w:hAnsi="ＭＳ ゴシック"/>
                <w:sz w:val="20"/>
              </w:rPr>
              <w:t>14cm</w:t>
            </w:r>
            <w:r w:rsidR="00400DC6">
              <w:rPr>
                <w:rFonts w:ascii="ＭＳ ゴシック" w:eastAsia="ＭＳ ゴシック" w:hAnsi="ＭＳ ゴシック" w:hint="eastAsia"/>
                <w:sz w:val="20"/>
              </w:rPr>
              <w:t>（膏体</w:t>
            </w:r>
            <w:r w:rsidR="00E65445">
              <w:rPr>
                <w:rFonts w:ascii="ＭＳ ゴシック" w:eastAsia="ＭＳ ゴシック" w:hAnsi="ＭＳ ゴシック" w:hint="eastAsia"/>
                <w:sz w:val="20"/>
              </w:rPr>
              <w:t>質量</w:t>
            </w:r>
            <w:r w:rsidR="00400DC6">
              <w:rPr>
                <w:rFonts w:ascii="ＭＳ ゴシック" w:eastAsia="ＭＳ ゴシック" w:hAnsi="ＭＳ ゴシック" w:hint="eastAsia"/>
                <w:sz w:val="20"/>
              </w:rPr>
              <w:t>2.0g）</w:t>
            </w:r>
            <w:r w:rsidR="00A57484">
              <w:rPr>
                <w:rFonts w:ascii="ＭＳ ゴシック" w:eastAsia="ＭＳ ゴシック" w:hAnsi="ＭＳ ゴシック" w:hint="eastAsia"/>
                <w:sz w:val="20"/>
              </w:rPr>
              <w:t>中</w:t>
            </w:r>
            <w:r w:rsidR="00F90938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  <w:p w14:paraId="712CC174" w14:textId="1A883AEF" w:rsidR="00687265" w:rsidRPr="00617D83" w:rsidRDefault="00687265" w:rsidP="00BA5C49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</w:t>
            </w:r>
            <w:r w:rsidR="00400DC6">
              <w:rPr>
                <w:rFonts w:ascii="ＭＳ ゴシック" w:eastAsia="ＭＳ ゴシック" w:hAnsi="ＭＳ ゴシック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C70300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Pr="00617D83">
              <w:rPr>
                <w:rFonts w:ascii="ＭＳ ゴシック" w:eastAsia="ＭＳ ゴシック" w:hAnsi="ＭＳ ゴシック" w:hint="eastAsia"/>
                <w:sz w:val="20"/>
              </w:rPr>
              <w:t>含有</w:t>
            </w:r>
          </w:p>
        </w:tc>
      </w:tr>
      <w:tr w:rsidR="000639F2" w:rsidRPr="00FB1012" w14:paraId="5CE7EBF1" w14:textId="77777777" w:rsidTr="00934229">
        <w:trPr>
          <w:trHeight w:val="311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DA1E82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薬効分類名</w:t>
            </w:r>
          </w:p>
        </w:tc>
        <w:tc>
          <w:tcPr>
            <w:tcW w:w="949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D13B98" w14:textId="77777777" w:rsidR="000639F2" w:rsidRPr="00FB1012" w:rsidRDefault="003D3947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経皮吸収型鎮痛</w:t>
            </w:r>
            <w:r w:rsidR="00320759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消炎</w:t>
            </w:r>
            <w:r w:rsidR="000639F2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</w:tr>
      <w:tr w:rsidR="000639F2" w:rsidRPr="00FB1012" w14:paraId="4EC9F416" w14:textId="77777777" w:rsidTr="003D60A9">
        <w:trPr>
          <w:trHeight w:val="176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535F75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748" w:type="dxa"/>
            <w:gridSpan w:val="3"/>
            <w:tcBorders>
              <w:left w:val="single" w:sz="18" w:space="0" w:color="auto"/>
            </w:tcBorders>
            <w:vAlign w:val="center"/>
          </w:tcPr>
          <w:p w14:paraId="4181DC5A" w14:textId="629ED8F5" w:rsidR="000639F2" w:rsidRPr="00FB1012" w:rsidRDefault="00AC64A7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</w:t>
            </w:r>
            <w:r w:rsidR="00F02463"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F02463"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0639F2" w:rsidRPr="00BC266A">
              <w:rPr>
                <w:rFonts w:ascii="ＭＳ ゴシック" w:eastAsia="ＭＳ ゴシック" w:hAnsi="ＭＳ ゴシック" w:hint="eastAsia"/>
                <w:sz w:val="20"/>
              </w:rPr>
              <w:t>円/</w:t>
            </w:r>
            <w:r w:rsidR="00F02463">
              <w:rPr>
                <w:rFonts w:ascii="ＭＳ ゴシック" w:eastAsia="ＭＳ ゴシック" w:hAnsi="ＭＳ ゴシック" w:hint="eastAsia"/>
                <w:sz w:val="20"/>
              </w:rPr>
              <w:t>枚</w:t>
            </w:r>
          </w:p>
        </w:tc>
        <w:tc>
          <w:tcPr>
            <w:tcW w:w="4749" w:type="dxa"/>
            <w:gridSpan w:val="2"/>
            <w:tcBorders>
              <w:right w:val="single" w:sz="18" w:space="0" w:color="auto"/>
            </w:tcBorders>
            <w:vAlign w:val="center"/>
          </w:tcPr>
          <w:p w14:paraId="2DEF4229" w14:textId="632983BB" w:rsidR="000639F2" w:rsidRPr="00BC266A" w:rsidRDefault="000375A9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75A9">
              <w:rPr>
                <w:rFonts w:ascii="ＭＳ ゴシック" w:eastAsia="ＭＳ ゴシック" w:hAnsi="ＭＳ ゴシック"/>
                <w:sz w:val="20"/>
              </w:rPr>
              <w:t>17.</w:t>
            </w:r>
            <w:r w:rsidR="00AC64A7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 w:rsidRPr="000375A9">
              <w:rPr>
                <w:rFonts w:ascii="ＭＳ ゴシック" w:eastAsia="ＭＳ ゴシック" w:hAnsi="ＭＳ ゴシック"/>
                <w:sz w:val="20"/>
              </w:rPr>
              <w:t>0</w:t>
            </w:r>
            <w:r w:rsidR="000639F2" w:rsidRPr="00BC266A">
              <w:rPr>
                <w:rFonts w:ascii="ＭＳ ゴシック" w:eastAsia="ＭＳ ゴシック" w:hAnsi="ＭＳ ゴシック" w:hint="eastAsia"/>
                <w:sz w:val="20"/>
              </w:rPr>
              <w:t>円/</w:t>
            </w:r>
            <w:r w:rsidR="00F02463">
              <w:rPr>
                <w:rFonts w:ascii="ＭＳ ゴシック" w:eastAsia="ＭＳ ゴシック" w:hAnsi="ＭＳ ゴシック" w:hint="eastAsia"/>
                <w:sz w:val="20"/>
              </w:rPr>
              <w:t>枚</w:t>
            </w:r>
          </w:p>
        </w:tc>
      </w:tr>
      <w:tr w:rsidR="000639F2" w:rsidRPr="00FB1012" w14:paraId="640516DA" w14:textId="77777777" w:rsidTr="00934229">
        <w:trPr>
          <w:trHeight w:val="593"/>
        </w:trPr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A5DDFD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949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41FF43" w14:textId="77777777" w:rsidR="000639F2" w:rsidRDefault="00A4498D" w:rsidP="00B9568B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下記疾患並びに症状の鎮痛・消炎</w:t>
            </w:r>
          </w:p>
          <w:p w14:paraId="30EA8AB4" w14:textId="77777777" w:rsidR="008F6C08" w:rsidRDefault="00B9568B" w:rsidP="008F6C08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9568B">
              <w:rPr>
                <w:rFonts w:ascii="ＭＳ ゴシック" w:eastAsia="ＭＳ ゴシック" w:hAnsi="ＭＳ ゴシック" w:hint="eastAsia"/>
                <w:sz w:val="20"/>
              </w:rPr>
              <w:t>変形性関節症、</w:t>
            </w:r>
            <w:r w:rsidR="007039DE">
              <w:rPr>
                <w:rFonts w:ascii="ＭＳ ゴシック" w:eastAsia="ＭＳ ゴシック" w:hAnsi="ＭＳ ゴシック" w:hint="eastAsia"/>
                <w:sz w:val="20"/>
              </w:rPr>
              <w:t>肩関節周囲炎、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腱・腱鞘炎、腱周囲炎、</w:t>
            </w:r>
          </w:p>
          <w:p w14:paraId="30D7DB4E" w14:textId="77777777" w:rsidR="00B9568B" w:rsidRPr="00FB1012" w:rsidRDefault="00B9568B" w:rsidP="008F6C08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上腕骨上顆炎（テニス肘等</w:t>
            </w:r>
            <w:r w:rsidRPr="00B9568B">
              <w:rPr>
                <w:rFonts w:ascii="ＭＳ ゴシック" w:eastAsia="ＭＳ ゴシック" w:hAnsi="ＭＳ ゴシック" w:hint="eastAsia"/>
                <w:sz w:val="20"/>
              </w:rPr>
              <w:t>）、筋肉痛、外傷後の腫脹・疼痛</w:t>
            </w:r>
          </w:p>
        </w:tc>
      </w:tr>
      <w:tr w:rsidR="000639F2" w:rsidRPr="00FB1012" w14:paraId="3BCB2B32" w14:textId="77777777" w:rsidTr="00934229">
        <w:trPr>
          <w:trHeight w:val="281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4A8908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949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7B798" w14:textId="77777777" w:rsidR="000639F2" w:rsidRPr="00FB1012" w:rsidRDefault="007039DE" w:rsidP="00F437A3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1日2回患部に貼付</w:t>
            </w:r>
            <w:r w:rsidR="000639F2" w:rsidRPr="00781627">
              <w:rPr>
                <w:rFonts w:ascii="ＭＳ ゴシック" w:eastAsia="ＭＳ ゴシック" w:hAnsi="ＭＳ ゴシック" w:hint="eastAsia"/>
                <w:sz w:val="20"/>
              </w:rPr>
              <w:t>する。</w:t>
            </w:r>
          </w:p>
        </w:tc>
      </w:tr>
      <w:tr w:rsidR="000639F2" w:rsidRPr="00FB1012" w14:paraId="590680C2" w14:textId="77777777" w:rsidTr="003D60A9">
        <w:trPr>
          <w:trHeight w:val="835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44E312" w14:textId="43C1BC34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A14CE0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748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56F" w14:textId="77777777" w:rsidR="000639F2" w:rsidRPr="00FB1012" w:rsidRDefault="006A1555" w:rsidP="00F437A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香料、BHT、テルペン樹脂、</w:t>
            </w:r>
            <w:r w:rsidR="00992B65">
              <w:rPr>
                <w:rFonts w:ascii="ＭＳ ゴシック" w:eastAsia="ＭＳ ゴシック" w:hAnsi="ＭＳ ゴシック" w:hint="eastAsia"/>
                <w:sz w:val="20"/>
              </w:rPr>
              <w:t>スチレン・イソプレン・スチレンブロック共重合体、ポリブテン、ポリオキシエチレンポリオキシプロピレングリコール、セバシン酸</w:t>
            </w:r>
            <w:r w:rsidR="00DB2765">
              <w:rPr>
                <w:rFonts w:ascii="ＭＳ ゴシック" w:eastAsia="ＭＳ ゴシック" w:hAnsi="ＭＳ ゴシック" w:hint="eastAsia"/>
                <w:sz w:val="20"/>
              </w:rPr>
              <w:t>ジエチル、炭酸プロピレン、流動パラフィン、その他1成分</w:t>
            </w:r>
          </w:p>
        </w:tc>
        <w:tc>
          <w:tcPr>
            <w:tcW w:w="474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EB32BF" w14:textId="77777777" w:rsidR="000639F2" w:rsidRPr="00FB1012" w:rsidRDefault="00944B93" w:rsidP="00BD02D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スチレン・イソプレン・スチレンブロック共重合体</w:t>
            </w:r>
            <w:r w:rsidR="00DA6691">
              <w:rPr>
                <w:rFonts w:ascii="ＭＳ ゴシック" w:eastAsia="ＭＳ ゴシック" w:hAnsi="ＭＳ ゴシック" w:hint="eastAsia"/>
                <w:sz w:val="20"/>
              </w:rPr>
              <w:t>、脂環族飽和炭化水素樹脂、ジブチルヒドロキシトルエン、流動パラフィン、その他2成分</w:t>
            </w:r>
          </w:p>
        </w:tc>
      </w:tr>
      <w:tr w:rsidR="00216079" w:rsidRPr="00FB1012" w14:paraId="1D785CCE" w14:textId="77777777" w:rsidTr="003D60A9">
        <w:trPr>
          <w:trHeight w:val="183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6753B" w14:textId="77777777" w:rsidR="00216079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2B2A76C4" w14:textId="58404461" w:rsidR="00CE20B5" w:rsidRPr="00FB1012" w:rsidRDefault="00CE20B5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16819E77" w14:textId="77777777" w:rsidR="00216079" w:rsidRPr="00FB1012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74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A8E951" w14:textId="77777777" w:rsidR="00216079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F32C9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76E9EC36" w14:textId="77777777" w:rsidR="00A93E76" w:rsidRDefault="008B7BA5" w:rsidP="00A93E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3</w:t>
            </w:r>
            <w:r w:rsidR="00216079" w:rsidRPr="00AF32C9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DF0D1DD" w14:textId="348C2158" w:rsidR="008B7BA5" w:rsidRPr="00AF32C9" w:rsidRDefault="004B52D2" w:rsidP="00A93E7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FBE89" w14:textId="77777777" w:rsidR="007E2631" w:rsidRDefault="007E2631" w:rsidP="00AF61E7">
            <w:pPr>
              <w:spacing w:line="0" w:lineRule="atLeast"/>
              <w:ind w:firstLineChars="1100" w:firstLine="2200"/>
              <w:rPr>
                <w:rFonts w:ascii="ＭＳ ゴシック" w:eastAsia="ＭＳ ゴシック" w:hAnsi="ＭＳ ゴシック"/>
                <w:sz w:val="20"/>
              </w:rPr>
            </w:pPr>
            <w:r w:rsidRPr="00AF32C9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032D70E7" w14:textId="24771A9A" w:rsidR="00216079" w:rsidRDefault="00BE351D" w:rsidP="00D75781">
            <w:pPr>
              <w:spacing w:line="0" w:lineRule="atLeast"/>
              <w:ind w:leftChars="-100" w:left="-2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01510D50" w14:textId="42DEA47C" w:rsidR="00216079" w:rsidRPr="00D75781" w:rsidRDefault="004B52D2" w:rsidP="00AF61E7">
            <w:pPr>
              <w:spacing w:line="0" w:lineRule="atLeast"/>
              <w:ind w:leftChars="-100" w:left="-24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75781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9356E2" w:rsidRPr="00FB1012" w14:paraId="66B0B8EB" w14:textId="77777777" w:rsidTr="00652B5E">
        <w:trPr>
          <w:cantSplit/>
          <w:trHeight w:val="343"/>
        </w:trPr>
        <w:tc>
          <w:tcPr>
            <w:tcW w:w="1560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2D8D11CA" w14:textId="77777777" w:rsidR="009356E2" w:rsidRPr="00FB1012" w:rsidRDefault="009356E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2126" w:type="dxa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17F0399B" w14:textId="77777777" w:rsidR="009356E2" w:rsidRPr="00FB1012" w:rsidRDefault="009356E2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3402" w:type="dxa"/>
            <w:gridSpan w:val="3"/>
            <w:tcBorders>
              <w:top w:val="double" w:sz="12" w:space="0" w:color="000000"/>
            </w:tcBorders>
            <w:vAlign w:val="center"/>
          </w:tcPr>
          <w:p w14:paraId="75DEA883" w14:textId="77777777" w:rsidR="009356E2" w:rsidRPr="00FB1012" w:rsidRDefault="009356E2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外　観</w:t>
            </w:r>
          </w:p>
        </w:tc>
        <w:tc>
          <w:tcPr>
            <w:tcW w:w="3969" w:type="dxa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4D26671" w14:textId="6BE246C0" w:rsidR="009356E2" w:rsidRPr="00FB1012" w:rsidRDefault="009356E2" w:rsidP="009356E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性　　状</w:t>
            </w:r>
          </w:p>
        </w:tc>
      </w:tr>
      <w:tr w:rsidR="009356E2" w:rsidRPr="00FB1012" w14:paraId="644F9939" w14:textId="77777777" w:rsidTr="00661718">
        <w:trPr>
          <w:cantSplit/>
          <w:trHeight w:val="1464"/>
        </w:trPr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B2EE3B" w14:textId="77777777" w:rsidR="009356E2" w:rsidRPr="00FB1012" w:rsidRDefault="009356E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7F6A259F" w14:textId="582ED133" w:rsidR="009356E2" w:rsidRPr="00FB1012" w:rsidRDefault="009356E2" w:rsidP="00BC40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フェルビナクテープ35mg「三笠」</w:t>
            </w:r>
          </w:p>
        </w:tc>
        <w:tc>
          <w:tcPr>
            <w:tcW w:w="1701" w:type="dxa"/>
          </w:tcPr>
          <w:p w14:paraId="26323CF3" w14:textId="5792F88B" w:rsidR="009356E2" w:rsidRDefault="009356E2" w:rsidP="00DF74B8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5351ED">
              <w:rPr>
                <w:rFonts w:asciiTheme="majorEastAsia" w:eastAsiaTheme="majorEastAsia" w:hAnsiTheme="majorEastAsia" w:hint="eastAsia"/>
                <w:noProof/>
                <w:sz w:val="20"/>
              </w:rPr>
              <w:t>製剤</w:t>
            </w:r>
          </w:p>
          <w:p w14:paraId="2B4D1837" w14:textId="171C6467" w:rsidR="009356E2" w:rsidRDefault="009356E2" w:rsidP="007E6D8A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68C66F1" wp14:editId="5D253C4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67723</wp:posOffset>
                  </wp:positionV>
                  <wp:extent cx="849086" cy="849086"/>
                  <wp:effectExtent l="0" t="0" r="8255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86" cy="8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5759E2" w14:textId="342033E8" w:rsidR="009356E2" w:rsidRDefault="009356E2" w:rsidP="007E6D8A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  <w:p w14:paraId="527407F9" w14:textId="4862BA3E" w:rsidR="009356E2" w:rsidRDefault="009356E2" w:rsidP="007E6D8A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  <w:p w14:paraId="0E8FADC0" w14:textId="39094E55" w:rsidR="009356E2" w:rsidRDefault="009356E2" w:rsidP="007E6D8A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  <w:p w14:paraId="350ED378" w14:textId="14D36C1A" w:rsidR="009356E2" w:rsidRDefault="009356E2" w:rsidP="007E6D8A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  <w:p w14:paraId="73EE08CE" w14:textId="77777777" w:rsidR="009356E2" w:rsidRDefault="009356E2" w:rsidP="0017371E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</w:p>
          <w:p w14:paraId="65B906E0" w14:textId="54EF1B10" w:rsidR="009356E2" w:rsidRPr="003025CD" w:rsidRDefault="009356E2" w:rsidP="0017371E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w:t>7</w:t>
            </w:r>
            <w:r w:rsidRPr="003025CD">
              <w:rPr>
                <w:rFonts w:asciiTheme="majorEastAsia" w:eastAsiaTheme="majorEastAsia" w:hAnsiTheme="majorEastAsia" w:hint="eastAsia"/>
                <w:noProof/>
                <w:sz w:val="20"/>
              </w:rPr>
              <w:t>cm×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w:t>10</w:t>
            </w:r>
            <w:r w:rsidRPr="003025CD">
              <w:rPr>
                <w:rFonts w:asciiTheme="majorEastAsia" w:eastAsiaTheme="majorEastAsia" w:hAnsiTheme="majorEastAsia" w:hint="eastAsia"/>
                <w:noProof/>
                <w:sz w:val="20"/>
              </w:rPr>
              <w:t>cm</w:t>
            </w:r>
          </w:p>
        </w:tc>
        <w:tc>
          <w:tcPr>
            <w:tcW w:w="1701" w:type="dxa"/>
            <w:gridSpan w:val="2"/>
          </w:tcPr>
          <w:p w14:paraId="0649B89D" w14:textId="77777777" w:rsidR="009356E2" w:rsidRPr="003025CD" w:rsidRDefault="009356E2" w:rsidP="007C0E0B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3025CD">
              <w:rPr>
                <w:rFonts w:asciiTheme="majorEastAsia" w:eastAsiaTheme="majorEastAsia" w:hAnsiTheme="majorEastAsia" w:hint="eastAsia"/>
                <w:noProof/>
                <w:sz w:val="20"/>
              </w:rPr>
              <w:t>薬袋</w:t>
            </w:r>
          </w:p>
          <w:p w14:paraId="553C0E77" w14:textId="77777777" w:rsidR="009356E2" w:rsidRPr="008671E5" w:rsidRDefault="009356E2" w:rsidP="007C0E0B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4"/>
                <w:szCs w:val="4"/>
              </w:rPr>
            </w:pPr>
          </w:p>
          <w:p w14:paraId="378C76A2" w14:textId="17F0A51C" w:rsidR="009356E2" w:rsidRPr="00DC113E" w:rsidRDefault="009356E2" w:rsidP="0017371E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76164A4" wp14:editId="16C1A09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37933</wp:posOffset>
                  </wp:positionV>
                  <wp:extent cx="854109" cy="854109"/>
                  <wp:effectExtent l="0" t="0" r="3175" b="317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09" cy="854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31D1A9AA" w14:textId="77777777" w:rsidR="009356E2" w:rsidRPr="00AF14B3" w:rsidRDefault="009356E2" w:rsidP="004C631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B7CC5">
              <w:rPr>
                <w:rFonts w:ascii="ＭＳ ゴシック" w:eastAsia="ＭＳ ゴシック" w:hAnsi="ＭＳ ゴシック" w:hint="eastAsia"/>
                <w:sz w:val="20"/>
              </w:rPr>
              <w:t>膏体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を支持体に展延し、膏体をライナーで被覆した貼付剤である。ライナーを除き直ちに観察するとき、膏体は微黄色半透明～黄色半透明で特異な芳香がある。</w:t>
            </w:r>
          </w:p>
          <w:p w14:paraId="55C79297" w14:textId="62C1239E" w:rsidR="009356E2" w:rsidRPr="00FB1012" w:rsidRDefault="009356E2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356E2" w:rsidRPr="00FB1012" w14:paraId="181747F4" w14:textId="77777777" w:rsidTr="006450A1">
        <w:trPr>
          <w:cantSplit/>
          <w:trHeight w:val="1006"/>
        </w:trPr>
        <w:tc>
          <w:tcPr>
            <w:tcW w:w="1560" w:type="dxa"/>
            <w:vMerge/>
            <w:tcBorders>
              <w:left w:val="single" w:sz="18" w:space="0" w:color="auto"/>
              <w:bottom w:val="double" w:sz="12" w:space="0" w:color="000000"/>
              <w:right w:val="single" w:sz="18" w:space="0" w:color="auto"/>
            </w:tcBorders>
            <w:vAlign w:val="center"/>
          </w:tcPr>
          <w:p w14:paraId="5CB60EE6" w14:textId="77777777" w:rsidR="009356E2" w:rsidRPr="00FB1012" w:rsidRDefault="009356E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4F667CAC" w14:textId="77777777" w:rsidR="009356E2" w:rsidRPr="00FB1012" w:rsidRDefault="009356E2" w:rsidP="00F437A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DC113E">
              <w:rPr>
                <w:rFonts w:ascii="ＭＳ ゴシック" w:eastAsia="ＭＳ ゴシック" w:hAnsi="ＭＳ ゴシック" w:hint="eastAsia"/>
                <w:sz w:val="20"/>
              </w:rPr>
              <w:t>セルタッチテープ70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71056147" w14:textId="77777777" w:rsidR="009356E2" w:rsidRDefault="009356E2" w:rsidP="00995568">
            <w:pPr>
              <w:spacing w:line="0" w:lineRule="atLeast"/>
              <w:ind w:firstLineChars="25" w:firstLine="5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7FFBD57" w14:textId="77777777" w:rsidR="009356E2" w:rsidRDefault="009356E2" w:rsidP="00995568">
            <w:pPr>
              <w:spacing w:line="0" w:lineRule="atLeast"/>
              <w:ind w:firstLineChars="25" w:firstLine="5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5C59617E" w14:textId="77777777" w:rsidR="009356E2" w:rsidRDefault="009356E2" w:rsidP="00995568">
            <w:pPr>
              <w:spacing w:line="0" w:lineRule="atLeast"/>
              <w:ind w:firstLineChars="25" w:firstLine="5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B8D55D0" w14:textId="77777777" w:rsidR="009356E2" w:rsidRDefault="009356E2" w:rsidP="00995568">
            <w:pPr>
              <w:spacing w:line="0" w:lineRule="atLeast"/>
              <w:ind w:firstLineChars="25" w:firstLine="5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29C9BAA3" w14:textId="4821B28D" w:rsidR="009356E2" w:rsidRPr="0020354A" w:rsidRDefault="009356E2" w:rsidP="00995568">
            <w:pPr>
              <w:spacing w:line="0" w:lineRule="atLeast"/>
              <w:ind w:firstLineChars="25" w:firstLine="5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0354A">
              <w:rPr>
                <w:rFonts w:ascii="ＭＳ ゴシック" w:eastAsia="ＭＳ ゴシック" w:hAnsi="ＭＳ ゴシック"/>
                <w:sz w:val="20"/>
              </w:rPr>
              <w:t>10cm×14cm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523745D9" w14:textId="62970E75" w:rsidR="009356E2" w:rsidRPr="0020354A" w:rsidRDefault="009356E2" w:rsidP="00D929D6">
            <w:pPr>
              <w:spacing w:line="0" w:lineRule="atLeast"/>
              <w:ind w:firstLineChars="24" w:firstLine="48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ouble" w:sz="12" w:space="0" w:color="000000"/>
              <w:right w:val="single" w:sz="18" w:space="0" w:color="auto"/>
            </w:tcBorders>
            <w:vAlign w:val="center"/>
          </w:tcPr>
          <w:p w14:paraId="00DC222A" w14:textId="64E8CF1D" w:rsidR="009356E2" w:rsidRPr="00ED11FF" w:rsidRDefault="009356E2" w:rsidP="00F437A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白色半透明の膏体を支持体で支持し、膏体面をライナーで被覆した貼付剤</w:t>
            </w:r>
          </w:p>
        </w:tc>
      </w:tr>
      <w:tr w:rsidR="003972CA" w:rsidRPr="00FB1012" w14:paraId="03735B4C" w14:textId="77777777" w:rsidTr="003D60A9">
        <w:trPr>
          <w:trHeight w:val="3747"/>
        </w:trPr>
        <w:tc>
          <w:tcPr>
            <w:tcW w:w="1560" w:type="dxa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2B23EA22" w14:textId="77777777" w:rsidR="003A05CC" w:rsidRDefault="00EB558F" w:rsidP="005D20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64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対照</w:t>
            </w:r>
            <w:r w:rsidR="003972CA" w:rsidRPr="00A764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製剤との</w:t>
            </w:r>
          </w:p>
          <w:p w14:paraId="2CBE0859" w14:textId="1282487F" w:rsidR="003972CA" w:rsidRPr="00A764D2" w:rsidRDefault="003972CA" w:rsidP="005D20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64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  <w:p w14:paraId="3929E04F" w14:textId="22BF8DBD" w:rsidR="00EB558F" w:rsidRDefault="00EB558F" w:rsidP="00BD7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9AD4E46" w14:textId="77777777" w:rsidR="000A368B" w:rsidRDefault="000A368B" w:rsidP="00BD72F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46E002" w14:textId="544A12F0" w:rsidR="00EB558F" w:rsidRPr="00D43C1A" w:rsidRDefault="00EB558F" w:rsidP="005D20A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748" w:type="dxa"/>
            <w:gridSpan w:val="3"/>
            <w:tcBorders>
              <w:top w:val="double" w:sz="12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220C4EE5" w14:textId="00C36542" w:rsidR="00851E3E" w:rsidRDefault="003972CA" w:rsidP="00BD72F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Pr="00FD541C">
              <w:rPr>
                <w:rFonts w:ascii="ＭＳ ゴシック" w:eastAsia="ＭＳ ゴシック" w:hAnsi="ＭＳ ゴシック" w:hint="eastAsia"/>
                <w:sz w:val="20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物学的同等性試験（</w:t>
            </w:r>
            <w:r w:rsidR="006E3345">
              <w:rPr>
                <w:rFonts w:ascii="ＭＳ ゴシック" w:eastAsia="ＭＳ ゴシック" w:hAnsi="ＭＳ ゴシック" w:hint="eastAsia"/>
                <w:sz w:val="20"/>
              </w:rPr>
              <w:t>血中濃度比較試験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）】</w:t>
            </w:r>
          </w:p>
          <w:p w14:paraId="020E4A27" w14:textId="62E919BF" w:rsidR="00831D79" w:rsidRDefault="006E3345" w:rsidP="00B87434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健康成人男性20例を対象に、</w:t>
            </w:r>
            <w:r w:rsidR="002A47B4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 w:rsidR="00831D79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D5A26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 w:rsidR="00831D79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F1688E">
              <w:rPr>
                <w:rFonts w:ascii="ＭＳ ゴシック" w:eastAsia="ＭＳ ゴシック" w:hAnsi="ＭＳ ゴシック" w:hint="eastAsia"/>
                <w:sz w:val="20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対照製剤</w:t>
            </w:r>
            <w:r w:rsidR="004528DA">
              <w:rPr>
                <w:rFonts w:ascii="ＭＳ ゴシック" w:eastAsia="ＭＳ ゴシック" w:hAnsi="ＭＳ ゴシック" w:hint="eastAsia"/>
                <w:sz w:val="20"/>
              </w:rPr>
              <w:t>を背部に12時間貼付したときの</w:t>
            </w:r>
            <w:r w:rsidR="00036380">
              <w:rPr>
                <w:rFonts w:ascii="ＭＳ ゴシック" w:eastAsia="ＭＳ ゴシック" w:hAnsi="ＭＳ ゴシック" w:hint="eastAsia"/>
                <w:sz w:val="20"/>
              </w:rPr>
              <w:t>血漿中濃度の測定し、両製剤の生物学的同等性を検討した。</w:t>
            </w:r>
          </w:p>
          <w:p w14:paraId="7DD4ECF5" w14:textId="263BA574" w:rsidR="00036380" w:rsidRDefault="004815A1" w:rsidP="00137C7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生物学的同等性判定の主要評価項目である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0"/>
              </w:rPr>
              <w:t>C</w:t>
            </w:r>
            <w:r w:rsidRPr="004528DA">
              <w:rPr>
                <w:rFonts w:ascii="ＭＳ ゴシック" w:eastAsia="ＭＳ ゴシック" w:hAnsi="ＭＳ ゴシック" w:hint="eastAsia"/>
                <w:sz w:val="20"/>
                <w:vertAlign w:val="subscript"/>
              </w:rPr>
              <w:t>max</w:t>
            </w:r>
            <w:proofErr w:type="spellEnd"/>
            <w:r>
              <w:rPr>
                <w:rFonts w:ascii="ＭＳ ゴシック" w:eastAsia="ＭＳ ゴシック" w:hAnsi="ＭＳ ゴシック" w:hint="eastAsia"/>
                <w:sz w:val="20"/>
              </w:rPr>
              <w:t>及びAUC</w:t>
            </w:r>
            <w:r w:rsidRPr="00F1688E">
              <w:rPr>
                <w:rFonts w:ascii="ＭＳ ゴシック" w:eastAsia="ＭＳ ゴシック" w:hAnsi="ＭＳ ゴシック" w:hint="eastAsia"/>
                <w:sz w:val="20"/>
                <w:vertAlign w:val="subscript"/>
              </w:rPr>
              <w:t>0-72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の対数値における平均値の差の90％信頼区間は、それぞれl</w:t>
            </w:r>
            <w:r>
              <w:rPr>
                <w:rFonts w:ascii="ＭＳ ゴシック" w:eastAsia="ＭＳ ゴシック" w:hAnsi="ＭＳ ゴシック"/>
                <w:sz w:val="20"/>
              </w:rPr>
              <w:t>og(0.936)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～l</w:t>
            </w:r>
            <w:r>
              <w:rPr>
                <w:rFonts w:ascii="ＭＳ ゴシック" w:eastAsia="ＭＳ ゴシック" w:hAnsi="ＭＳ ゴシック"/>
                <w:sz w:val="20"/>
              </w:rPr>
              <w:t>og(1.16</w:t>
            </w:r>
            <w:r w:rsidR="00AD3179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)</w:t>
            </w:r>
            <w:r w:rsidR="006D3E86">
              <w:rPr>
                <w:rFonts w:ascii="ＭＳ ゴシック" w:eastAsia="ＭＳ ゴシック" w:hAnsi="ＭＳ ゴシック" w:hint="eastAsia"/>
                <w:sz w:val="20"/>
              </w:rPr>
              <w:t>[93.6％～116.1％]、l</w:t>
            </w:r>
            <w:r w:rsidR="006D3E86">
              <w:rPr>
                <w:rFonts w:ascii="ＭＳ ゴシック" w:eastAsia="ＭＳ ゴシック" w:hAnsi="ＭＳ ゴシック"/>
                <w:sz w:val="20"/>
              </w:rPr>
              <w:t>og(0.</w:t>
            </w:r>
            <w:r w:rsidR="006D3E86">
              <w:rPr>
                <w:rFonts w:ascii="ＭＳ ゴシック" w:eastAsia="ＭＳ ゴシック" w:hAnsi="ＭＳ ゴシック" w:hint="eastAsia"/>
                <w:sz w:val="20"/>
              </w:rPr>
              <w:t>877</w:t>
            </w:r>
            <w:r w:rsidR="006D3E86">
              <w:rPr>
                <w:rFonts w:ascii="ＭＳ ゴシック" w:eastAsia="ＭＳ ゴシック" w:hAnsi="ＭＳ ゴシック"/>
                <w:sz w:val="20"/>
              </w:rPr>
              <w:t>)</w:t>
            </w:r>
            <w:r w:rsidR="006D3E86">
              <w:rPr>
                <w:rFonts w:ascii="ＭＳ ゴシック" w:eastAsia="ＭＳ ゴシック" w:hAnsi="ＭＳ ゴシック" w:hint="eastAsia"/>
                <w:sz w:val="20"/>
              </w:rPr>
              <w:t>～l</w:t>
            </w:r>
            <w:r w:rsidR="006D3E86">
              <w:rPr>
                <w:rFonts w:ascii="ＭＳ ゴシック" w:eastAsia="ＭＳ ゴシック" w:hAnsi="ＭＳ ゴシック"/>
                <w:sz w:val="20"/>
              </w:rPr>
              <w:t>og(</w:t>
            </w:r>
            <w:r w:rsidR="00AD3179">
              <w:rPr>
                <w:rFonts w:ascii="ＭＳ ゴシック" w:eastAsia="ＭＳ ゴシック" w:hAnsi="ＭＳ ゴシック" w:hint="eastAsia"/>
                <w:sz w:val="20"/>
              </w:rPr>
              <w:t>1.060</w:t>
            </w:r>
            <w:r w:rsidR="006D3E86">
              <w:rPr>
                <w:rFonts w:ascii="ＭＳ ゴシック" w:eastAsia="ＭＳ ゴシック" w:hAnsi="ＭＳ ゴシック"/>
                <w:sz w:val="20"/>
              </w:rPr>
              <w:t>)</w:t>
            </w:r>
            <w:r w:rsidR="006D3E86">
              <w:rPr>
                <w:rFonts w:ascii="ＭＳ ゴシック" w:eastAsia="ＭＳ ゴシック" w:hAnsi="ＭＳ ゴシック" w:hint="eastAsia"/>
                <w:sz w:val="20"/>
              </w:rPr>
              <w:t>[</w:t>
            </w:r>
            <w:r w:rsidR="00AD3179">
              <w:rPr>
                <w:rFonts w:ascii="ＭＳ ゴシック" w:eastAsia="ＭＳ ゴシック" w:hAnsi="ＭＳ ゴシック" w:hint="eastAsia"/>
                <w:sz w:val="20"/>
              </w:rPr>
              <w:t>87.7</w:t>
            </w:r>
            <w:r w:rsidR="006D3E86">
              <w:rPr>
                <w:rFonts w:ascii="ＭＳ ゴシック" w:eastAsia="ＭＳ ゴシック" w:hAnsi="ＭＳ ゴシック" w:hint="eastAsia"/>
                <w:sz w:val="20"/>
              </w:rPr>
              <w:t>％～</w:t>
            </w:r>
            <w:r w:rsidR="00AD3179">
              <w:rPr>
                <w:rFonts w:ascii="ＭＳ ゴシック" w:eastAsia="ＭＳ ゴシック" w:hAnsi="ＭＳ ゴシック" w:hint="eastAsia"/>
                <w:sz w:val="20"/>
              </w:rPr>
              <w:t>106.0</w:t>
            </w:r>
            <w:r w:rsidR="006D3E86">
              <w:rPr>
                <w:rFonts w:ascii="ＭＳ ゴシック" w:eastAsia="ＭＳ ゴシック" w:hAnsi="ＭＳ ゴシック" w:hint="eastAsia"/>
                <w:sz w:val="20"/>
              </w:rPr>
              <w:t>％]</w:t>
            </w:r>
            <w:r w:rsidR="00AD3179">
              <w:rPr>
                <w:rFonts w:ascii="ＭＳ ゴシック" w:eastAsia="ＭＳ ゴシック" w:hAnsi="ＭＳ ゴシック" w:hint="eastAsia"/>
                <w:sz w:val="20"/>
              </w:rPr>
              <w:t>であり、いずれも生物学的同等性の判定基準であるlog（0.8）～log（1.25）[80％～125％]の範囲にあった。</w:t>
            </w:r>
            <w:r w:rsidR="00B4074E">
              <w:rPr>
                <w:rFonts w:ascii="ＭＳ ゴシック" w:eastAsia="ＭＳ ゴシック" w:hAnsi="ＭＳ ゴシック" w:hint="eastAsia"/>
                <w:sz w:val="20"/>
              </w:rPr>
              <w:t>以上の結果から、</w:t>
            </w:r>
            <w:r w:rsidR="002A47B4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 w:rsidR="00B4074E">
              <w:rPr>
                <w:rFonts w:ascii="ＭＳ ゴシック" w:eastAsia="ＭＳ ゴシック" w:hAnsi="ＭＳ ゴシック" w:hint="eastAsia"/>
                <w:sz w:val="20"/>
              </w:rPr>
              <w:t>と対照製剤は、生物学的に同等であることが検証された。</w:t>
            </w:r>
            <w:r w:rsidR="00B84AAE">
              <w:rPr>
                <w:rFonts w:ascii="ＭＳ ゴシック" w:eastAsia="ＭＳ ゴシック" w:hAnsi="ＭＳ ゴシック" w:hint="eastAsia"/>
                <w:sz w:val="20"/>
              </w:rPr>
              <w:t>対照製剤:ファルジーテープ</w:t>
            </w:r>
          </w:p>
        </w:tc>
        <w:tc>
          <w:tcPr>
            <w:tcW w:w="4749" w:type="dxa"/>
            <w:gridSpan w:val="2"/>
            <w:tcBorders>
              <w:top w:val="double" w:sz="12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6C935DC6" w14:textId="77777777" w:rsidR="00851E3E" w:rsidRDefault="001629B0" w:rsidP="003D60A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1629B0">
              <w:rPr>
                <w:rFonts w:ascii="ＭＳ ゴシック" w:eastAsia="ＭＳ ゴシック" w:hAnsi="ＭＳ ゴシック" w:hint="eastAsia"/>
                <w:sz w:val="20"/>
              </w:rPr>
              <w:t>【生物学的同等性試験（</w:t>
            </w:r>
            <w:r w:rsidR="00174F12">
              <w:rPr>
                <w:rFonts w:ascii="ＭＳ ゴシック" w:eastAsia="ＭＳ ゴシック" w:hAnsi="ＭＳ ゴシック" w:hint="eastAsia"/>
                <w:sz w:val="20"/>
              </w:rPr>
              <w:t>薬物残存量試験</w:t>
            </w:r>
            <w:r w:rsidRPr="001629B0">
              <w:rPr>
                <w:rFonts w:ascii="ＭＳ ゴシック" w:eastAsia="ＭＳ ゴシック" w:hAnsi="ＭＳ ゴシック" w:hint="eastAsia"/>
                <w:sz w:val="20"/>
              </w:rPr>
              <w:t>）】</w:t>
            </w:r>
          </w:p>
          <w:p w14:paraId="3C8BB5B4" w14:textId="55A073B9" w:rsidR="00174F12" w:rsidRPr="00174F12" w:rsidRDefault="00174F12" w:rsidP="003D60A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健康成人男子</w:t>
            </w:r>
            <w:r w:rsidR="00B145BF">
              <w:rPr>
                <w:rFonts w:ascii="ＭＳ ゴシック" w:eastAsia="ＭＳ ゴシック" w:hAnsi="ＭＳ ゴシック" w:hint="eastAsia"/>
                <w:sz w:val="20"/>
              </w:rPr>
              <w:t>8例を対象に、</w:t>
            </w:r>
            <w:r w:rsidR="002A47B4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 w:rsidR="006900A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D5A26">
              <w:rPr>
                <w:rFonts w:ascii="ＭＳ ゴシック" w:eastAsia="ＭＳ ゴシック" w:hAnsi="ＭＳ ゴシック" w:hint="eastAsia"/>
                <w:sz w:val="20"/>
              </w:rPr>
              <w:t>新処方製剤</w:t>
            </w:r>
            <w:r w:rsidR="006900A0">
              <w:rPr>
                <w:rFonts w:ascii="ＭＳ ゴシック" w:eastAsia="ＭＳ ゴシック" w:hAnsi="ＭＳ ゴシック" w:hint="eastAsia"/>
                <w:sz w:val="20"/>
              </w:rPr>
              <w:t>）と</w:t>
            </w:r>
            <w:r w:rsidR="002A47B4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 w:rsidR="006900A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D5A26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 w:rsidR="006900A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376082">
              <w:rPr>
                <w:rFonts w:ascii="ＭＳ ゴシック" w:eastAsia="ＭＳ ゴシック" w:hAnsi="ＭＳ ゴシック" w:hint="eastAsia"/>
                <w:sz w:val="20"/>
              </w:rPr>
              <w:t>の薬物（フェルビナク）移行量を算出し、両製剤の生物学的同等性を検証した。</w:t>
            </w:r>
            <w:r w:rsidR="006F1180">
              <w:rPr>
                <w:rFonts w:ascii="ＭＳ ゴシック" w:eastAsia="ＭＳ ゴシック" w:hAnsi="ＭＳ ゴシック" w:hint="eastAsia"/>
                <w:sz w:val="20"/>
              </w:rPr>
              <w:t>両製剤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の薬物移行量の平均値の差の90%信頼区間は、log（0.817</w:t>
            </w:r>
            <w:r w:rsidR="00A33D0C">
              <w:rPr>
                <w:rFonts w:ascii="ＭＳ ゴシック" w:eastAsia="ＭＳ ゴシック" w:hAnsi="ＭＳ ゴシック"/>
                <w:sz w:val="20"/>
              </w:rPr>
              <w:t>10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5E2B01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="003822BB">
              <w:rPr>
                <w:rFonts w:ascii="ＭＳ ゴシック" w:eastAsia="ＭＳ ゴシック" w:hAnsi="ＭＳ ゴシック" w:hint="eastAsia"/>
                <w:sz w:val="20"/>
              </w:rPr>
              <w:t>log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5E2B01">
              <w:rPr>
                <w:rFonts w:ascii="ＭＳ ゴシック" w:eastAsia="ＭＳ ゴシック" w:hAnsi="ＭＳ ゴシック" w:hint="eastAsia"/>
                <w:sz w:val="20"/>
              </w:rPr>
              <w:t>1.1589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5E2B01">
              <w:rPr>
                <w:rFonts w:ascii="ＭＳ ゴシック" w:eastAsia="ＭＳ ゴシック" w:hAnsi="ＭＳ ゴシック" w:hint="eastAsia"/>
                <w:sz w:val="20"/>
              </w:rPr>
              <w:t>であり、生物学的同等性の判定基準である</w:t>
            </w:r>
            <w:r w:rsidR="003822BB">
              <w:rPr>
                <w:rFonts w:ascii="ＭＳ ゴシック" w:eastAsia="ＭＳ ゴシック" w:hAnsi="ＭＳ ゴシック" w:hint="eastAsia"/>
                <w:sz w:val="20"/>
              </w:rPr>
              <w:t>log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575336">
              <w:rPr>
                <w:rFonts w:ascii="ＭＳ ゴシック" w:eastAsia="ＭＳ ゴシック" w:hAnsi="ＭＳ ゴシック" w:hint="eastAsia"/>
                <w:sz w:val="20"/>
              </w:rPr>
              <w:t>0.8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5E2B01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="00575336">
              <w:rPr>
                <w:rFonts w:ascii="ＭＳ ゴシック" w:eastAsia="ＭＳ ゴシック" w:hAnsi="ＭＳ ゴシック" w:hint="eastAsia"/>
                <w:sz w:val="20"/>
              </w:rPr>
              <w:t>log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575336">
              <w:rPr>
                <w:rFonts w:ascii="ＭＳ ゴシック" w:eastAsia="ＭＳ ゴシック" w:hAnsi="ＭＳ ゴシック" w:hint="eastAsia"/>
                <w:sz w:val="20"/>
              </w:rPr>
              <w:t>1.25</w:t>
            </w:r>
            <w:r w:rsidR="00A33D0C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575336">
              <w:rPr>
                <w:rFonts w:ascii="ＭＳ ゴシック" w:eastAsia="ＭＳ ゴシック" w:hAnsi="ＭＳ ゴシック" w:hint="eastAsia"/>
                <w:sz w:val="20"/>
              </w:rPr>
              <w:t>の範囲にあった。以上の結果から、</w:t>
            </w:r>
            <w:r w:rsidR="002A47B4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 w:rsidR="006F118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D5A26">
              <w:rPr>
                <w:rFonts w:ascii="ＭＳ ゴシック" w:eastAsia="ＭＳ ゴシック" w:hAnsi="ＭＳ ゴシック" w:hint="eastAsia"/>
                <w:sz w:val="20"/>
              </w:rPr>
              <w:t>新処方製剤</w:t>
            </w:r>
            <w:r w:rsidR="006F1180">
              <w:rPr>
                <w:rFonts w:ascii="ＭＳ ゴシック" w:eastAsia="ＭＳ ゴシック" w:hAnsi="ＭＳ ゴシック" w:hint="eastAsia"/>
                <w:sz w:val="20"/>
              </w:rPr>
              <w:t>）と</w:t>
            </w:r>
            <w:r w:rsidR="002A47B4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 w:rsidR="006F1180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2D5A26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 w:rsidR="006F118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="00575336">
              <w:rPr>
                <w:rFonts w:ascii="ＭＳ ゴシック" w:eastAsia="ＭＳ ゴシック" w:hAnsi="ＭＳ ゴシック" w:hint="eastAsia"/>
                <w:sz w:val="20"/>
              </w:rPr>
              <w:t>は</w:t>
            </w:r>
            <w:r w:rsidR="00237200">
              <w:rPr>
                <w:rFonts w:ascii="ＭＳ ゴシック" w:eastAsia="ＭＳ ゴシック" w:hAnsi="ＭＳ ゴシック" w:hint="eastAsia"/>
                <w:sz w:val="20"/>
              </w:rPr>
              <w:t>、生物学的に同等であることが検証された。</w:t>
            </w:r>
          </w:p>
          <w:p w14:paraId="56C6937B" w14:textId="77777777" w:rsidR="001629B0" w:rsidRDefault="001629B0" w:rsidP="003D60A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1B14AE67" w14:textId="2B636C4F" w:rsidR="006F1180" w:rsidRPr="006F1180" w:rsidRDefault="006F1180" w:rsidP="003D60A9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2A47B4">
              <w:rPr>
                <w:rFonts w:ascii="ＭＳ ゴシック" w:eastAsia="ＭＳ ゴシック" w:hAnsi="ＭＳ ゴシック" w:hint="eastAsia"/>
                <w:sz w:val="20"/>
              </w:rPr>
              <w:t>新処方製剤への</w:t>
            </w:r>
            <w:r w:rsidR="003D2133">
              <w:rPr>
                <w:rFonts w:ascii="ＭＳ ゴシック" w:eastAsia="ＭＳ ゴシック" w:hAnsi="ＭＳ ゴシック" w:hint="eastAsia"/>
                <w:sz w:val="20"/>
              </w:rPr>
              <w:t>処方変更（</w:t>
            </w:r>
            <w:r w:rsidR="00737896">
              <w:rPr>
                <w:rFonts w:ascii="ＭＳ ゴシック" w:eastAsia="ＭＳ ゴシック" w:hAnsi="ＭＳ ゴシック" w:hint="eastAsia"/>
                <w:sz w:val="20"/>
              </w:rPr>
              <w:t>2005年5</w:t>
            </w:r>
            <w:r w:rsidR="003D2133">
              <w:rPr>
                <w:rFonts w:ascii="ＭＳ ゴシック" w:eastAsia="ＭＳ ゴシック" w:hAnsi="ＭＳ ゴシック" w:hint="eastAsia"/>
                <w:sz w:val="20"/>
              </w:rPr>
              <w:t>月）</w:t>
            </w:r>
          </w:p>
        </w:tc>
      </w:tr>
      <w:tr w:rsidR="00BD72FF" w:rsidRPr="00FB1012" w14:paraId="3581D056" w14:textId="77777777" w:rsidTr="00934229">
        <w:trPr>
          <w:cantSplit/>
          <w:trHeight w:val="20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AEA62D" w14:textId="2C2617B8" w:rsidR="00BD72FF" w:rsidRPr="00FB1012" w:rsidRDefault="00BD72FF" w:rsidP="00310CC9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医療機関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949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9E6A2" w14:textId="77777777" w:rsidR="00BD72FF" w:rsidRPr="00FB1012" w:rsidRDefault="00BD72FF" w:rsidP="00BD72FF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502233E8" w14:textId="77777777" w:rsidR="00AD174B" w:rsidRPr="002356DF" w:rsidRDefault="002356DF" w:rsidP="00851E3E">
      <w:pPr>
        <w:rPr>
          <w:rFonts w:asciiTheme="majorEastAsia" w:eastAsiaTheme="majorEastAsia" w:hAnsiTheme="majorEastAsia"/>
          <w:sz w:val="20"/>
        </w:rPr>
      </w:pPr>
      <w:r w:rsidRPr="002356DF">
        <w:rPr>
          <w:rFonts w:asciiTheme="majorEastAsia" w:eastAsiaTheme="majorEastAsia" w:hAnsiTheme="majorEastAsia" w:hint="eastAsia"/>
          <w:sz w:val="20"/>
        </w:rPr>
        <w:t>※</w:t>
      </w:r>
      <w:r w:rsidR="00F370CF">
        <w:rPr>
          <w:rFonts w:asciiTheme="majorEastAsia" w:eastAsiaTheme="majorEastAsia" w:hAnsiTheme="majorEastAsia" w:hint="eastAsia"/>
          <w:sz w:val="20"/>
        </w:rPr>
        <w:t>本製品は</w:t>
      </w:r>
      <w:r w:rsidR="00963A8A">
        <w:rPr>
          <w:rFonts w:asciiTheme="majorEastAsia" w:eastAsiaTheme="majorEastAsia" w:hAnsiTheme="majorEastAsia" w:hint="eastAsia"/>
          <w:sz w:val="20"/>
        </w:rPr>
        <w:t>、</w:t>
      </w:r>
      <w:r w:rsidRPr="002356DF">
        <w:rPr>
          <w:rFonts w:asciiTheme="majorEastAsia" w:eastAsiaTheme="majorEastAsia" w:hAnsiTheme="majorEastAsia" w:hint="eastAsia"/>
          <w:sz w:val="20"/>
        </w:rPr>
        <w:t>標準製剤</w:t>
      </w:r>
      <w:r w:rsidR="006F7651">
        <w:rPr>
          <w:rFonts w:asciiTheme="majorEastAsia" w:eastAsiaTheme="majorEastAsia" w:hAnsiTheme="majorEastAsia" w:hint="eastAsia"/>
          <w:sz w:val="20"/>
        </w:rPr>
        <w:t>と規格が異なります</w:t>
      </w:r>
      <w:r w:rsidR="00963A8A">
        <w:rPr>
          <w:rFonts w:asciiTheme="majorEastAsia" w:eastAsiaTheme="majorEastAsia" w:hAnsiTheme="majorEastAsia" w:hint="eastAsia"/>
          <w:sz w:val="20"/>
        </w:rPr>
        <w:t>ので</w:t>
      </w:r>
      <w:r w:rsidR="00F370CF">
        <w:rPr>
          <w:rFonts w:asciiTheme="majorEastAsia" w:eastAsiaTheme="majorEastAsia" w:hAnsiTheme="majorEastAsia" w:hint="eastAsia"/>
          <w:sz w:val="20"/>
        </w:rPr>
        <w:t>ご注意ください</w:t>
      </w:r>
      <w:r w:rsidRPr="002356DF">
        <w:rPr>
          <w:rFonts w:asciiTheme="majorEastAsia" w:eastAsiaTheme="majorEastAsia" w:hAnsiTheme="majorEastAsia" w:hint="eastAsia"/>
          <w:sz w:val="20"/>
        </w:rPr>
        <w:t>。</w:t>
      </w:r>
    </w:p>
    <w:sectPr w:rsidR="00AD174B" w:rsidRPr="002356DF" w:rsidSect="000E1FE8">
      <w:headerReference w:type="default" r:id="rId8"/>
      <w:pgSz w:w="11906" w:h="16838"/>
      <w:pgMar w:top="567" w:right="284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8C66D" w14:textId="77777777" w:rsidR="00333BE1" w:rsidRDefault="00333BE1" w:rsidP="00982A6E">
      <w:pPr>
        <w:spacing w:line="240" w:lineRule="auto"/>
      </w:pPr>
      <w:r>
        <w:separator/>
      </w:r>
    </w:p>
  </w:endnote>
  <w:endnote w:type="continuationSeparator" w:id="0">
    <w:p w14:paraId="578A83BF" w14:textId="77777777" w:rsidR="00333BE1" w:rsidRDefault="00333BE1" w:rsidP="0098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31098" w14:textId="77777777" w:rsidR="00333BE1" w:rsidRDefault="00333BE1" w:rsidP="00982A6E">
      <w:pPr>
        <w:spacing w:line="240" w:lineRule="auto"/>
      </w:pPr>
      <w:r>
        <w:separator/>
      </w:r>
    </w:p>
  </w:footnote>
  <w:footnote w:type="continuationSeparator" w:id="0">
    <w:p w14:paraId="2FFB2DD9" w14:textId="77777777" w:rsidR="00333BE1" w:rsidRDefault="00333BE1" w:rsidP="00982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BE30" w14:textId="44DF8F0B" w:rsidR="00982A6E" w:rsidRPr="0041267C" w:rsidRDefault="00982A6E">
    <w:pPr>
      <w:pStyle w:val="a3"/>
      <w:rPr>
        <w:rFonts w:asciiTheme="majorEastAsia" w:eastAsiaTheme="majorEastAsia" w:hAnsiTheme="majorEastAsia"/>
      </w:rPr>
    </w:pPr>
    <w:r w:rsidRPr="0041267C">
      <w:rPr>
        <w:rFonts w:asciiTheme="majorEastAsia" w:eastAsiaTheme="majorEastAsia" w:hAnsiTheme="majorEastAsia"/>
      </w:rPr>
      <w:ptab w:relativeTo="margin" w:alignment="center" w:leader="none"/>
    </w:r>
    <w:r w:rsidRPr="0041267C">
      <w:rPr>
        <w:rFonts w:asciiTheme="majorEastAsia" w:eastAsiaTheme="majorEastAsia" w:hAnsiTheme="majorEastAsia"/>
      </w:rPr>
      <w:ptab w:relativeTo="margin" w:alignment="right" w:leader="none"/>
    </w:r>
    <w:r w:rsidR="00493F65" w:rsidRPr="0041267C">
      <w:rPr>
        <w:rFonts w:asciiTheme="majorEastAsia" w:eastAsiaTheme="majorEastAsia" w:hAnsiTheme="majorEastAsia"/>
      </w:rPr>
      <w:t>20</w:t>
    </w:r>
    <w:r w:rsidR="009A3F77" w:rsidRPr="0041267C">
      <w:rPr>
        <w:rFonts w:asciiTheme="majorEastAsia" w:eastAsiaTheme="majorEastAsia" w:hAnsiTheme="majorEastAsia" w:hint="eastAsia"/>
      </w:rPr>
      <w:t>2</w:t>
    </w:r>
    <w:r w:rsidR="00CD6124">
      <w:rPr>
        <w:rFonts w:asciiTheme="majorEastAsia" w:eastAsiaTheme="majorEastAsia" w:hAnsiTheme="majorEastAsia" w:hint="eastAsia"/>
      </w:rPr>
      <w:t>5</w:t>
    </w:r>
    <w:r w:rsidR="002104D5" w:rsidRPr="0041267C">
      <w:rPr>
        <w:rFonts w:asciiTheme="majorEastAsia" w:eastAsiaTheme="majorEastAsia" w:hAnsiTheme="majorEastAsia" w:hint="eastAsia"/>
      </w:rPr>
      <w:t>年</w:t>
    </w:r>
    <w:r w:rsidR="000375A9">
      <w:rPr>
        <w:rFonts w:asciiTheme="majorEastAsia" w:eastAsiaTheme="majorEastAsia" w:hAnsiTheme="majorEastAsia"/>
      </w:rPr>
      <w:t>4</w:t>
    </w:r>
    <w:r w:rsidR="002104D5" w:rsidRPr="0041267C">
      <w:rPr>
        <w:rFonts w:asciiTheme="majorEastAsia" w:eastAsiaTheme="majorEastAsia" w:hAnsiTheme="majorEastAsia" w:hint="eastAsia"/>
      </w:rPr>
      <w:t>月作成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F2"/>
    <w:rsid w:val="00005991"/>
    <w:rsid w:val="0001642E"/>
    <w:rsid w:val="00025819"/>
    <w:rsid w:val="00031629"/>
    <w:rsid w:val="00036380"/>
    <w:rsid w:val="000375A9"/>
    <w:rsid w:val="000414D2"/>
    <w:rsid w:val="00050D7F"/>
    <w:rsid w:val="000636EC"/>
    <w:rsid w:val="000639F2"/>
    <w:rsid w:val="000659E6"/>
    <w:rsid w:val="000761D4"/>
    <w:rsid w:val="00076F98"/>
    <w:rsid w:val="000A1245"/>
    <w:rsid w:val="000A368B"/>
    <w:rsid w:val="000C1880"/>
    <w:rsid w:val="000E1FE8"/>
    <w:rsid w:val="00103C37"/>
    <w:rsid w:val="00114859"/>
    <w:rsid w:val="001156D6"/>
    <w:rsid w:val="001158A7"/>
    <w:rsid w:val="00120553"/>
    <w:rsid w:val="00125D54"/>
    <w:rsid w:val="00127EF0"/>
    <w:rsid w:val="001354B9"/>
    <w:rsid w:val="001361D7"/>
    <w:rsid w:val="00137C7F"/>
    <w:rsid w:val="0014631C"/>
    <w:rsid w:val="00151A03"/>
    <w:rsid w:val="00160E54"/>
    <w:rsid w:val="001629B0"/>
    <w:rsid w:val="0017371E"/>
    <w:rsid w:val="00174F12"/>
    <w:rsid w:val="00197D13"/>
    <w:rsid w:val="001A19F4"/>
    <w:rsid w:val="001A30C9"/>
    <w:rsid w:val="001B07FA"/>
    <w:rsid w:val="001D0959"/>
    <w:rsid w:val="001E5EC7"/>
    <w:rsid w:val="001F57E9"/>
    <w:rsid w:val="001F5A54"/>
    <w:rsid w:val="001F5F78"/>
    <w:rsid w:val="0020354A"/>
    <w:rsid w:val="002104D5"/>
    <w:rsid w:val="002121C0"/>
    <w:rsid w:val="00214F89"/>
    <w:rsid w:val="00216079"/>
    <w:rsid w:val="002356DF"/>
    <w:rsid w:val="00237200"/>
    <w:rsid w:val="00245B0C"/>
    <w:rsid w:val="00266CEC"/>
    <w:rsid w:val="0027517F"/>
    <w:rsid w:val="00292D68"/>
    <w:rsid w:val="002A47B4"/>
    <w:rsid w:val="002A51D0"/>
    <w:rsid w:val="002A5A07"/>
    <w:rsid w:val="002D1208"/>
    <w:rsid w:val="002D4014"/>
    <w:rsid w:val="002D5A26"/>
    <w:rsid w:val="002F06F3"/>
    <w:rsid w:val="003025CD"/>
    <w:rsid w:val="003061D9"/>
    <w:rsid w:val="00310CC9"/>
    <w:rsid w:val="00320759"/>
    <w:rsid w:val="00333BE1"/>
    <w:rsid w:val="00350056"/>
    <w:rsid w:val="00350ACC"/>
    <w:rsid w:val="00355C8A"/>
    <w:rsid w:val="0037245C"/>
    <w:rsid w:val="003729B5"/>
    <w:rsid w:val="00375201"/>
    <w:rsid w:val="00376082"/>
    <w:rsid w:val="003822BB"/>
    <w:rsid w:val="003972CA"/>
    <w:rsid w:val="003A05CC"/>
    <w:rsid w:val="003D2133"/>
    <w:rsid w:val="003D3947"/>
    <w:rsid w:val="003D60A9"/>
    <w:rsid w:val="00400DC6"/>
    <w:rsid w:val="0041267C"/>
    <w:rsid w:val="00447D86"/>
    <w:rsid w:val="00452388"/>
    <w:rsid w:val="004528DA"/>
    <w:rsid w:val="0046596C"/>
    <w:rsid w:val="00477B17"/>
    <w:rsid w:val="00481106"/>
    <w:rsid w:val="004815A1"/>
    <w:rsid w:val="00493F65"/>
    <w:rsid w:val="004B52D2"/>
    <w:rsid w:val="004C6315"/>
    <w:rsid w:val="004D3893"/>
    <w:rsid w:val="004D43B8"/>
    <w:rsid w:val="004E2A78"/>
    <w:rsid w:val="004E4D46"/>
    <w:rsid w:val="004F0724"/>
    <w:rsid w:val="00506736"/>
    <w:rsid w:val="00507D14"/>
    <w:rsid w:val="00525B7F"/>
    <w:rsid w:val="00527AD8"/>
    <w:rsid w:val="00530BDD"/>
    <w:rsid w:val="005351ED"/>
    <w:rsid w:val="0057331B"/>
    <w:rsid w:val="00575336"/>
    <w:rsid w:val="00581815"/>
    <w:rsid w:val="005D20A8"/>
    <w:rsid w:val="005E28BB"/>
    <w:rsid w:val="005E2B01"/>
    <w:rsid w:val="005E3FDA"/>
    <w:rsid w:val="005F2518"/>
    <w:rsid w:val="00602400"/>
    <w:rsid w:val="00617D83"/>
    <w:rsid w:val="00621070"/>
    <w:rsid w:val="00624A6C"/>
    <w:rsid w:val="00625990"/>
    <w:rsid w:val="00625CCE"/>
    <w:rsid w:val="006376DF"/>
    <w:rsid w:val="00652B5E"/>
    <w:rsid w:val="00653432"/>
    <w:rsid w:val="006645E2"/>
    <w:rsid w:val="00664621"/>
    <w:rsid w:val="00670C8A"/>
    <w:rsid w:val="00675B82"/>
    <w:rsid w:val="00687265"/>
    <w:rsid w:val="006900A0"/>
    <w:rsid w:val="00691EA6"/>
    <w:rsid w:val="00693EDB"/>
    <w:rsid w:val="006A1555"/>
    <w:rsid w:val="006A2117"/>
    <w:rsid w:val="006D03B3"/>
    <w:rsid w:val="006D3E86"/>
    <w:rsid w:val="006E3345"/>
    <w:rsid w:val="006F1180"/>
    <w:rsid w:val="006F7651"/>
    <w:rsid w:val="0070227F"/>
    <w:rsid w:val="007039DE"/>
    <w:rsid w:val="007106CC"/>
    <w:rsid w:val="00722069"/>
    <w:rsid w:val="00722EE6"/>
    <w:rsid w:val="007376A4"/>
    <w:rsid w:val="00737896"/>
    <w:rsid w:val="00737FCB"/>
    <w:rsid w:val="00746622"/>
    <w:rsid w:val="00755975"/>
    <w:rsid w:val="007636C4"/>
    <w:rsid w:val="007644B5"/>
    <w:rsid w:val="007751A5"/>
    <w:rsid w:val="00775F69"/>
    <w:rsid w:val="007812D2"/>
    <w:rsid w:val="007A4C74"/>
    <w:rsid w:val="007B2156"/>
    <w:rsid w:val="007C0E0B"/>
    <w:rsid w:val="007D3E8A"/>
    <w:rsid w:val="007E2631"/>
    <w:rsid w:val="007E6D8A"/>
    <w:rsid w:val="008046CC"/>
    <w:rsid w:val="0081482F"/>
    <w:rsid w:val="00820D0F"/>
    <w:rsid w:val="00831D79"/>
    <w:rsid w:val="00836F0F"/>
    <w:rsid w:val="008458B1"/>
    <w:rsid w:val="00851E3E"/>
    <w:rsid w:val="008671E5"/>
    <w:rsid w:val="008959F4"/>
    <w:rsid w:val="008A1C72"/>
    <w:rsid w:val="008B7BA5"/>
    <w:rsid w:val="008C4814"/>
    <w:rsid w:val="008F287F"/>
    <w:rsid w:val="008F57B3"/>
    <w:rsid w:val="008F6C08"/>
    <w:rsid w:val="008F6C99"/>
    <w:rsid w:val="009044F8"/>
    <w:rsid w:val="00921488"/>
    <w:rsid w:val="00934229"/>
    <w:rsid w:val="009356E2"/>
    <w:rsid w:val="00944B93"/>
    <w:rsid w:val="0095082F"/>
    <w:rsid w:val="00956284"/>
    <w:rsid w:val="00957FB3"/>
    <w:rsid w:val="00963867"/>
    <w:rsid w:val="00963A8A"/>
    <w:rsid w:val="00982A6E"/>
    <w:rsid w:val="00984916"/>
    <w:rsid w:val="00990471"/>
    <w:rsid w:val="00992B1A"/>
    <w:rsid w:val="00992B65"/>
    <w:rsid w:val="00995568"/>
    <w:rsid w:val="009A3F77"/>
    <w:rsid w:val="009B6B05"/>
    <w:rsid w:val="009C7329"/>
    <w:rsid w:val="009F37FB"/>
    <w:rsid w:val="00A03EE3"/>
    <w:rsid w:val="00A07C25"/>
    <w:rsid w:val="00A14CE0"/>
    <w:rsid w:val="00A23320"/>
    <w:rsid w:val="00A25BEE"/>
    <w:rsid w:val="00A33D0C"/>
    <w:rsid w:val="00A4498D"/>
    <w:rsid w:val="00A57484"/>
    <w:rsid w:val="00A6349A"/>
    <w:rsid w:val="00A764D2"/>
    <w:rsid w:val="00A93E76"/>
    <w:rsid w:val="00A9469C"/>
    <w:rsid w:val="00A946B7"/>
    <w:rsid w:val="00A953E8"/>
    <w:rsid w:val="00AA5B0C"/>
    <w:rsid w:val="00AB2322"/>
    <w:rsid w:val="00AB7CC5"/>
    <w:rsid w:val="00AC3E7D"/>
    <w:rsid w:val="00AC64A7"/>
    <w:rsid w:val="00AC677E"/>
    <w:rsid w:val="00AD174B"/>
    <w:rsid w:val="00AD3179"/>
    <w:rsid w:val="00AD43C2"/>
    <w:rsid w:val="00AF61E7"/>
    <w:rsid w:val="00B02D5E"/>
    <w:rsid w:val="00B12166"/>
    <w:rsid w:val="00B14539"/>
    <w:rsid w:val="00B145BF"/>
    <w:rsid w:val="00B21EE0"/>
    <w:rsid w:val="00B301DD"/>
    <w:rsid w:val="00B30B34"/>
    <w:rsid w:val="00B4074E"/>
    <w:rsid w:val="00B41585"/>
    <w:rsid w:val="00B677C9"/>
    <w:rsid w:val="00B71D6B"/>
    <w:rsid w:val="00B7501F"/>
    <w:rsid w:val="00B84AAE"/>
    <w:rsid w:val="00B87434"/>
    <w:rsid w:val="00B91B7F"/>
    <w:rsid w:val="00B92529"/>
    <w:rsid w:val="00B94E84"/>
    <w:rsid w:val="00B9568B"/>
    <w:rsid w:val="00BA5C49"/>
    <w:rsid w:val="00BB6792"/>
    <w:rsid w:val="00BC08F2"/>
    <w:rsid w:val="00BC40E3"/>
    <w:rsid w:val="00BC6654"/>
    <w:rsid w:val="00BD02D5"/>
    <w:rsid w:val="00BD0C5D"/>
    <w:rsid w:val="00BD10E0"/>
    <w:rsid w:val="00BD72FF"/>
    <w:rsid w:val="00BE351D"/>
    <w:rsid w:val="00C373CD"/>
    <w:rsid w:val="00C53B4F"/>
    <w:rsid w:val="00C642A5"/>
    <w:rsid w:val="00C70300"/>
    <w:rsid w:val="00CC1EC1"/>
    <w:rsid w:val="00CC37BF"/>
    <w:rsid w:val="00CD0BDD"/>
    <w:rsid w:val="00CD1B4A"/>
    <w:rsid w:val="00CD3F6C"/>
    <w:rsid w:val="00CD6124"/>
    <w:rsid w:val="00CE10BF"/>
    <w:rsid w:val="00CE20B5"/>
    <w:rsid w:val="00CF0532"/>
    <w:rsid w:val="00D16AE8"/>
    <w:rsid w:val="00D43C1A"/>
    <w:rsid w:val="00D5312D"/>
    <w:rsid w:val="00D75781"/>
    <w:rsid w:val="00D83209"/>
    <w:rsid w:val="00D8716F"/>
    <w:rsid w:val="00D87F3B"/>
    <w:rsid w:val="00D929D6"/>
    <w:rsid w:val="00D957FC"/>
    <w:rsid w:val="00DA2B12"/>
    <w:rsid w:val="00DA6691"/>
    <w:rsid w:val="00DB1E7C"/>
    <w:rsid w:val="00DB2765"/>
    <w:rsid w:val="00DB33E7"/>
    <w:rsid w:val="00DC0C26"/>
    <w:rsid w:val="00DC113E"/>
    <w:rsid w:val="00DC5C21"/>
    <w:rsid w:val="00DE7154"/>
    <w:rsid w:val="00DF74B8"/>
    <w:rsid w:val="00E10D78"/>
    <w:rsid w:val="00E16692"/>
    <w:rsid w:val="00E532F1"/>
    <w:rsid w:val="00E54C82"/>
    <w:rsid w:val="00E65445"/>
    <w:rsid w:val="00E71475"/>
    <w:rsid w:val="00E832A0"/>
    <w:rsid w:val="00E950CB"/>
    <w:rsid w:val="00EA064C"/>
    <w:rsid w:val="00EB558F"/>
    <w:rsid w:val="00ED11FF"/>
    <w:rsid w:val="00EE26AF"/>
    <w:rsid w:val="00EE5B2B"/>
    <w:rsid w:val="00EF5AB2"/>
    <w:rsid w:val="00F02463"/>
    <w:rsid w:val="00F04DB3"/>
    <w:rsid w:val="00F1688E"/>
    <w:rsid w:val="00F24B22"/>
    <w:rsid w:val="00F30800"/>
    <w:rsid w:val="00F370CF"/>
    <w:rsid w:val="00F4681C"/>
    <w:rsid w:val="00F51E4B"/>
    <w:rsid w:val="00F63B7A"/>
    <w:rsid w:val="00F84B92"/>
    <w:rsid w:val="00F90938"/>
    <w:rsid w:val="00FB5013"/>
    <w:rsid w:val="00FC301F"/>
    <w:rsid w:val="00FD3C62"/>
    <w:rsid w:val="00FD541C"/>
    <w:rsid w:val="00F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5CD20"/>
  <w15:chartTrackingRefBased/>
  <w15:docId w15:val="{72D9B7E0-6445-4C73-8045-AB5F512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9F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A6E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82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A6E"/>
    <w:rPr>
      <w:rFonts w:ascii="ＭＳ 明朝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33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3E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9047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047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90471"/>
    <w:rPr>
      <w:rFonts w:ascii="ＭＳ 明朝" w:eastAsia="ＭＳ 明朝" w:hAnsi="Century" w:cs="Times New Roman"/>
      <w:kern w:val="0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9047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0471"/>
    <w:rPr>
      <w:rFonts w:ascii="ＭＳ 明朝" w:eastAsia="ＭＳ 明朝" w:hAnsi="Century" w:cs="Times New Roman"/>
      <w:b/>
      <w:bCs/>
      <w:kern w:val="0"/>
      <w:sz w:val="24"/>
      <w:szCs w:val="20"/>
    </w:rPr>
  </w:style>
  <w:style w:type="paragraph" w:styleId="ae">
    <w:name w:val="Revision"/>
    <w:hidden/>
    <w:uiPriority w:val="99"/>
    <w:semiHidden/>
    <w:rsid w:val="007A4C74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DHO079</dc:creator>
  <cp:keywords/>
  <dc:description/>
  <cp:lastModifiedBy>富岡 大八郎</cp:lastModifiedBy>
  <cp:revision>28</cp:revision>
  <cp:lastPrinted>2024-03-14T02:48:00Z</cp:lastPrinted>
  <dcterms:created xsi:type="dcterms:W3CDTF">2020-10-14T04:48:00Z</dcterms:created>
  <dcterms:modified xsi:type="dcterms:W3CDTF">2025-03-13T01:36:00Z</dcterms:modified>
</cp:coreProperties>
</file>